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FB0D0B" w:rsidRPr="00F21B7C" w:rsidTr="00A14C79">
        <w:tc>
          <w:tcPr>
            <w:tcW w:w="8362" w:type="dxa"/>
            <w:tcBorders>
              <w:top w:val="nil"/>
              <w:left w:val="nil"/>
              <w:right w:val="nil"/>
            </w:tcBorders>
            <w:shd w:val="clear" w:color="auto" w:fill="auto"/>
          </w:tcPr>
          <w:p w:rsidR="00FB0D0B" w:rsidRPr="00F21B7C" w:rsidRDefault="00FB3891" w:rsidP="00F21B7C">
            <w:pPr>
              <w:jc w:val="center"/>
              <w:rPr>
                <w:rFonts w:ascii="標楷體" w:eastAsia="標楷體" w:hAnsi="標楷體"/>
              </w:rPr>
            </w:pPr>
            <w:r w:rsidRPr="00F21B7C">
              <w:rPr>
                <w:rFonts w:ascii="標楷體" w:eastAsia="標楷體" w:hAnsi="標楷體" w:cs="新細明體" w:hint="eastAsia"/>
                <w:b/>
                <w:bCs/>
                <w:color w:val="000000"/>
                <w:kern w:val="0"/>
                <w:sz w:val="56"/>
                <w:szCs w:val="56"/>
                <w:u w:val="single"/>
              </w:rPr>
              <w:t>休閒事業系</w:t>
            </w:r>
            <w:r w:rsidR="00FB0D0B" w:rsidRPr="00F21B7C">
              <w:rPr>
                <w:rFonts w:ascii="標楷體" w:eastAsia="標楷體" w:hAnsi="標楷體" w:cs="新細明體"/>
                <w:b/>
                <w:bCs/>
                <w:color w:val="000033"/>
                <w:kern w:val="0"/>
                <w:sz w:val="54"/>
              </w:rPr>
              <w:t>SWOT分析</w:t>
            </w:r>
          </w:p>
        </w:tc>
      </w:tr>
      <w:tr w:rsidR="00FB0D0B" w:rsidRPr="00F21B7C" w:rsidTr="00F21B7C">
        <w:tc>
          <w:tcPr>
            <w:tcW w:w="8362" w:type="dxa"/>
            <w:shd w:val="clear" w:color="auto" w:fill="auto"/>
          </w:tcPr>
          <w:p w:rsidR="00967AFD" w:rsidRPr="00F21B7C" w:rsidRDefault="00FB0D0B" w:rsidP="00F21B7C">
            <w:pPr>
              <w:ind w:left="720" w:hangingChars="300" w:hanging="720"/>
              <w:jc w:val="both"/>
              <w:rPr>
                <w:rFonts w:ascii="標楷體" w:eastAsia="標楷體" w:hAnsi="標楷體" w:hint="eastAsia"/>
                <w:bCs/>
              </w:rPr>
            </w:pPr>
            <w:r w:rsidRPr="00F21B7C">
              <w:rPr>
                <w:rFonts w:ascii="標楷體" w:eastAsia="標楷體" w:hAnsi="標楷體" w:hint="eastAsia"/>
                <w:bCs/>
              </w:rPr>
              <w:t>優勢：本校依偎台北市</w:t>
            </w:r>
            <w:proofErr w:type="gramStart"/>
            <w:r w:rsidRPr="00F21B7C">
              <w:rPr>
                <w:rFonts w:ascii="標楷體" w:eastAsia="標楷體" w:hAnsi="標楷體" w:hint="eastAsia"/>
                <w:bCs/>
              </w:rPr>
              <w:t>北郊大屯</w:t>
            </w:r>
            <w:proofErr w:type="gramEnd"/>
            <w:r w:rsidRPr="00F21B7C">
              <w:rPr>
                <w:rFonts w:ascii="標楷體" w:eastAsia="標楷體" w:hAnsi="標楷體" w:hint="eastAsia"/>
                <w:bCs/>
              </w:rPr>
              <w:t>山</w:t>
            </w:r>
            <w:r w:rsidRPr="00F21B7C">
              <w:rPr>
                <w:rFonts w:ascii="標楷體" w:eastAsia="標楷體" w:hAnsi="標楷體"/>
                <w:bCs/>
              </w:rPr>
              <w:t>麓</w:t>
            </w:r>
            <w:r w:rsidRPr="00F21B7C">
              <w:rPr>
                <w:rFonts w:ascii="標楷體" w:eastAsia="標楷體" w:hAnsi="標楷體" w:hint="eastAsia"/>
                <w:bCs/>
              </w:rPr>
              <w:t>，距關渡捷運站五分鐘的接駁車程，北與陽明山國家公園及北投觀光溫泉區、水筆子生態區、淡水漁人碼頭、東北角國家風景區及關渡大橋西岸的八里十三行博物館等特色運動休閒景點近在咫尺。</w:t>
            </w:r>
            <w:proofErr w:type="gramStart"/>
            <w:r w:rsidRPr="00F21B7C">
              <w:rPr>
                <w:rFonts w:ascii="標楷體" w:eastAsia="標楷體" w:hAnsi="標楷體" w:hint="eastAsia"/>
                <w:bCs/>
              </w:rPr>
              <w:t>傍鄰著</w:t>
            </w:r>
            <w:proofErr w:type="gramEnd"/>
            <w:r w:rsidRPr="00F21B7C">
              <w:rPr>
                <w:rFonts w:ascii="標楷體" w:eastAsia="標楷體" w:hAnsi="標楷體" w:hint="eastAsia"/>
                <w:bCs/>
              </w:rPr>
              <w:t>國立台北藝術大學，校園內只需舉目即可遠眺觀音山脈的鬱鬱蒼</w:t>
            </w:r>
            <w:proofErr w:type="gramStart"/>
            <w:r w:rsidRPr="00F21B7C">
              <w:rPr>
                <w:rFonts w:ascii="標楷體" w:eastAsia="標楷體" w:hAnsi="標楷體" w:hint="eastAsia"/>
                <w:bCs/>
              </w:rPr>
              <w:t>蒼</w:t>
            </w:r>
            <w:proofErr w:type="gramEnd"/>
            <w:r w:rsidRPr="00F21B7C">
              <w:rPr>
                <w:rFonts w:ascii="標楷體" w:eastAsia="標楷體" w:hAnsi="標楷體" w:hint="eastAsia"/>
                <w:bCs/>
              </w:rPr>
              <w:t>與近</w:t>
            </w:r>
            <w:proofErr w:type="gramStart"/>
            <w:r w:rsidRPr="00F21B7C">
              <w:rPr>
                <w:rFonts w:ascii="標楷體" w:eastAsia="標楷體" w:hAnsi="標楷體" w:hint="eastAsia"/>
                <w:bCs/>
              </w:rPr>
              <w:t>覽</w:t>
            </w:r>
            <w:proofErr w:type="gramEnd"/>
            <w:r w:rsidRPr="00F21B7C">
              <w:rPr>
                <w:rFonts w:ascii="標楷體" w:eastAsia="標楷體" w:hAnsi="標楷體" w:hint="eastAsia"/>
                <w:bCs/>
              </w:rPr>
              <w:t>關渡平原的生態美景，距離北台灣運動休閒場所僅需30分鐘左右的車程。發達的交通網路所提供的便捷性、</w:t>
            </w:r>
            <w:proofErr w:type="gramStart"/>
            <w:r w:rsidRPr="00F21B7C">
              <w:rPr>
                <w:rFonts w:ascii="標楷體" w:eastAsia="標楷體" w:hAnsi="標楷體"/>
                <w:bCs/>
              </w:rPr>
              <w:t>山環水抱</w:t>
            </w:r>
            <w:proofErr w:type="gramEnd"/>
            <w:r w:rsidRPr="00F21B7C">
              <w:rPr>
                <w:rFonts w:ascii="標楷體" w:eastAsia="標楷體" w:hAnsi="標楷體" w:hint="eastAsia"/>
                <w:bCs/>
              </w:rPr>
              <w:t>的景緻</w:t>
            </w:r>
            <w:r w:rsidRPr="00F21B7C">
              <w:rPr>
                <w:rFonts w:ascii="標楷體" w:eastAsia="標楷體" w:hAnsi="標楷體"/>
                <w:bCs/>
              </w:rPr>
              <w:t>、鍾毓人傑</w:t>
            </w:r>
            <w:r w:rsidRPr="00F21B7C">
              <w:rPr>
                <w:rFonts w:ascii="標楷體" w:eastAsia="標楷體" w:hAnsi="標楷體" w:hint="eastAsia"/>
                <w:bCs/>
              </w:rPr>
              <w:t>的地理位置，是非常適宜作為北台灣地區休閒、人文特色與運動健康與休閒人才的培育重鎮。</w:t>
            </w:r>
          </w:p>
          <w:p w:rsidR="00967AFD" w:rsidRPr="00F21B7C" w:rsidRDefault="00967AFD" w:rsidP="00F21B7C">
            <w:pPr>
              <w:ind w:firstLineChars="300" w:firstLine="720"/>
              <w:jc w:val="both"/>
              <w:rPr>
                <w:rFonts w:ascii="標楷體" w:eastAsia="標楷體" w:hAnsi="標楷體"/>
                <w:bCs/>
              </w:rPr>
            </w:pPr>
            <w:r w:rsidRPr="00F21B7C">
              <w:rPr>
                <w:rFonts w:ascii="標楷體" w:eastAsia="標楷體" w:hAnsi="標楷體" w:hint="eastAsia"/>
                <w:bCs/>
              </w:rPr>
              <w:t>運動休閒服務產業符合國民所得提高後之時代潮流。</w:t>
            </w:r>
          </w:p>
          <w:p w:rsidR="00FB0D0B" w:rsidRPr="00F21B7C" w:rsidRDefault="00967AFD" w:rsidP="00F21B7C">
            <w:pPr>
              <w:ind w:firstLineChars="300" w:firstLine="720"/>
              <w:jc w:val="both"/>
              <w:rPr>
                <w:rFonts w:ascii="標楷體" w:eastAsia="標楷體" w:hAnsi="標楷體" w:hint="eastAsia"/>
              </w:rPr>
            </w:pPr>
            <w:r w:rsidRPr="00F21B7C">
              <w:rPr>
                <w:rFonts w:ascii="標楷體" w:eastAsia="標楷體" w:hAnsi="標楷體" w:hint="eastAsia"/>
                <w:bCs/>
              </w:rPr>
              <w:t>參與及觀賞休閒運動競賽之意願提升。</w:t>
            </w:r>
          </w:p>
        </w:tc>
      </w:tr>
      <w:tr w:rsidR="00FB0D0B" w:rsidRPr="00F21B7C" w:rsidTr="00F21B7C">
        <w:tc>
          <w:tcPr>
            <w:tcW w:w="8362" w:type="dxa"/>
            <w:shd w:val="clear" w:color="auto" w:fill="auto"/>
          </w:tcPr>
          <w:p w:rsidR="00FB0D0B" w:rsidRPr="00F21B7C" w:rsidRDefault="00FB0D0B" w:rsidP="00A24F63">
            <w:pPr>
              <w:jc w:val="both"/>
              <w:rPr>
                <w:rFonts w:ascii="標楷體" w:eastAsia="標楷體" w:hAnsi="標楷體" w:hint="eastAsia"/>
                <w:bCs/>
              </w:rPr>
            </w:pPr>
            <w:r w:rsidRPr="00F21B7C">
              <w:rPr>
                <w:rFonts w:ascii="標楷體" w:eastAsia="標楷體" w:hAnsi="標楷體" w:hint="eastAsia"/>
              </w:rPr>
              <w:t>劣勢：</w:t>
            </w:r>
            <w:r w:rsidRPr="00F21B7C">
              <w:rPr>
                <w:rFonts w:ascii="標楷體" w:eastAsia="標楷體" w:hAnsi="標楷體" w:hint="eastAsia"/>
                <w:bCs/>
              </w:rPr>
              <w:t>學生外語能力較差，較欠缺獨立研究與作業能力</w:t>
            </w:r>
          </w:p>
          <w:p w:rsidR="00FB0D0B" w:rsidRPr="00F21B7C" w:rsidRDefault="00FB0D0B" w:rsidP="00F21B7C">
            <w:pPr>
              <w:ind w:firstLineChars="300" w:firstLine="720"/>
              <w:rPr>
                <w:rFonts w:ascii="標楷體" w:eastAsia="標楷體" w:hAnsi="標楷體"/>
              </w:rPr>
            </w:pPr>
            <w:r w:rsidRPr="00F21B7C">
              <w:rPr>
                <w:rFonts w:ascii="標楷體" w:eastAsia="標楷體" w:hAnsi="標楷體" w:hint="eastAsia"/>
                <w:bCs/>
              </w:rPr>
              <w:t>技專校院老師教學、服務與行政負擔較重，研發資源與時間普遍不足</w:t>
            </w:r>
          </w:p>
        </w:tc>
      </w:tr>
      <w:tr w:rsidR="00FB0D0B" w:rsidRPr="00F21B7C" w:rsidTr="00F21B7C">
        <w:tc>
          <w:tcPr>
            <w:tcW w:w="8362" w:type="dxa"/>
            <w:shd w:val="clear" w:color="auto" w:fill="auto"/>
          </w:tcPr>
          <w:p w:rsidR="00967AFD" w:rsidRPr="00F21B7C" w:rsidRDefault="00591FC1" w:rsidP="00F21B7C">
            <w:pPr>
              <w:ind w:left="720" w:hangingChars="300" w:hanging="720"/>
              <w:jc w:val="both"/>
              <w:rPr>
                <w:rFonts w:ascii="標楷體" w:eastAsia="標楷體" w:hAnsi="標楷體" w:hint="eastAsia"/>
              </w:rPr>
            </w:pPr>
            <w:r w:rsidRPr="00F21B7C">
              <w:rPr>
                <w:rFonts w:ascii="標楷體" w:eastAsia="標楷體" w:hAnsi="標楷體" w:hint="eastAsia"/>
              </w:rPr>
              <w:t>機會：</w:t>
            </w:r>
            <w:r w:rsidR="00967AFD" w:rsidRPr="00F21B7C">
              <w:rPr>
                <w:rFonts w:ascii="標楷體" w:eastAsia="標楷體" w:hAnsi="標楷體" w:hint="eastAsia"/>
              </w:rPr>
              <w:t>運動休閒產業的發展，一方面，隨著國民所得的提高，國人愈來愈注重養身，使崇尚健康取向的健身活動逐漸萌芽，但是，依據調查國人只有3.48％的人口有運動</w:t>
            </w:r>
            <w:bookmarkStart w:id="0" w:name="_GoBack"/>
            <w:bookmarkEnd w:id="0"/>
            <w:r w:rsidR="00967AFD" w:rsidRPr="00F21B7C">
              <w:rPr>
                <w:rFonts w:ascii="標楷體" w:eastAsia="標楷體" w:hAnsi="標楷體" w:hint="eastAsia"/>
              </w:rPr>
              <w:t>習慣，而且國內體育發展因長期仰賴政府資源</w:t>
            </w:r>
            <w:proofErr w:type="gramStart"/>
            <w:r w:rsidR="00967AFD" w:rsidRPr="00F21B7C">
              <w:rPr>
                <w:rFonts w:ascii="標楷體" w:eastAsia="標楷體" w:hAnsi="標楷體" w:hint="eastAsia"/>
              </w:rPr>
              <w:t>挹</w:t>
            </w:r>
            <w:proofErr w:type="gramEnd"/>
            <w:r w:rsidR="00967AFD" w:rsidRPr="00F21B7C">
              <w:rPr>
                <w:rFonts w:ascii="標楷體" w:eastAsia="標楷體" w:hAnsi="標楷體" w:hint="eastAsia"/>
              </w:rPr>
              <w:t>注，相關體育活動不具在市場中獨立生存、自給自足的能力。</w:t>
            </w:r>
          </w:p>
          <w:p w:rsidR="00FB0D0B" w:rsidRPr="00F21B7C" w:rsidRDefault="00967AFD" w:rsidP="00F21B7C">
            <w:pPr>
              <w:ind w:leftChars="300" w:left="720"/>
              <w:jc w:val="both"/>
              <w:rPr>
                <w:rFonts w:ascii="標楷體" w:eastAsia="標楷體" w:hAnsi="標楷體" w:hint="eastAsia"/>
              </w:rPr>
            </w:pPr>
            <w:r w:rsidRPr="00F21B7C">
              <w:rPr>
                <w:rFonts w:ascii="標楷體" w:eastAsia="標楷體" w:hAnsi="標楷體" w:hint="eastAsia"/>
              </w:rPr>
              <w:t>政府政策鼓勵。民間資金尋求多元的投資管道。民眾願意付費使用運動休閒室內設施，使業界蓬勃發展。</w:t>
            </w:r>
          </w:p>
        </w:tc>
      </w:tr>
      <w:tr w:rsidR="00FB0D0B" w:rsidRPr="00F21B7C" w:rsidTr="00F21B7C">
        <w:tc>
          <w:tcPr>
            <w:tcW w:w="8362" w:type="dxa"/>
            <w:shd w:val="clear" w:color="auto" w:fill="auto"/>
          </w:tcPr>
          <w:p w:rsidR="00967AFD" w:rsidRPr="00F21B7C" w:rsidRDefault="00591FC1" w:rsidP="00F21B7C">
            <w:pPr>
              <w:jc w:val="both"/>
              <w:rPr>
                <w:rFonts w:ascii="標楷體" w:eastAsia="標楷體" w:hAnsi="標楷體"/>
              </w:rPr>
            </w:pPr>
            <w:r w:rsidRPr="00F21B7C">
              <w:rPr>
                <w:rFonts w:ascii="標楷體" w:eastAsia="標楷體" w:hAnsi="標楷體" w:hint="eastAsia"/>
              </w:rPr>
              <w:t>挑戰：</w:t>
            </w:r>
            <w:r w:rsidR="00967AFD" w:rsidRPr="00F21B7C">
              <w:rPr>
                <w:rFonts w:ascii="標楷體" w:eastAsia="標楷體" w:hAnsi="標楷體" w:hint="eastAsia"/>
              </w:rPr>
              <w:t>運動服務業相關法規之不足。</w:t>
            </w:r>
          </w:p>
          <w:p w:rsidR="00967AFD" w:rsidRPr="00F21B7C" w:rsidRDefault="00967AFD" w:rsidP="00F21B7C">
            <w:pPr>
              <w:ind w:firstLineChars="300" w:firstLine="720"/>
              <w:jc w:val="both"/>
              <w:rPr>
                <w:rFonts w:ascii="標楷體" w:eastAsia="標楷體" w:hAnsi="標楷體"/>
              </w:rPr>
            </w:pPr>
            <w:r w:rsidRPr="00F21B7C">
              <w:rPr>
                <w:rFonts w:ascii="標楷體" w:eastAsia="標楷體" w:hAnsi="標楷體" w:hint="eastAsia"/>
              </w:rPr>
              <w:t>傳統之體能運動遊走於醫療法規邊緣。</w:t>
            </w:r>
          </w:p>
          <w:p w:rsidR="003D40F6" w:rsidRPr="00F21B7C" w:rsidRDefault="003D40F6" w:rsidP="00F21B7C">
            <w:pPr>
              <w:ind w:firstLineChars="300" w:firstLine="720"/>
              <w:jc w:val="both"/>
              <w:rPr>
                <w:rFonts w:ascii="標楷體" w:eastAsia="標楷體" w:hAnsi="標楷體" w:hint="eastAsia"/>
              </w:rPr>
            </w:pPr>
            <w:proofErr w:type="gramStart"/>
            <w:r w:rsidRPr="00F21B7C">
              <w:rPr>
                <w:rFonts w:ascii="標楷體" w:eastAsia="標楷體" w:hAnsi="標楷體" w:hint="eastAsia"/>
              </w:rPr>
              <w:t>國內婚</w:t>
            </w:r>
            <w:proofErr w:type="gramEnd"/>
            <w:r w:rsidRPr="00F21B7C">
              <w:rPr>
                <w:rFonts w:ascii="標楷體" w:eastAsia="標楷體" w:hAnsi="標楷體" w:hint="eastAsia"/>
              </w:rPr>
              <w:t xml:space="preserve">生嬰兒出生數的逐年下降 </w:t>
            </w:r>
          </w:p>
          <w:p w:rsidR="003D40F6" w:rsidRPr="00F21B7C" w:rsidRDefault="003D40F6" w:rsidP="00F21B7C">
            <w:pPr>
              <w:ind w:firstLineChars="300" w:firstLine="720"/>
              <w:jc w:val="both"/>
              <w:rPr>
                <w:rFonts w:ascii="標楷體" w:eastAsia="標楷體" w:hAnsi="標楷體" w:hint="eastAsia"/>
              </w:rPr>
            </w:pPr>
            <w:r w:rsidRPr="00F21B7C">
              <w:rPr>
                <w:rFonts w:ascii="標楷體" w:eastAsia="標楷體" w:hAnsi="標楷體" w:hint="eastAsia"/>
              </w:rPr>
              <w:t xml:space="preserve">經濟優勢家庭赴海外與大陸進修 </w:t>
            </w:r>
          </w:p>
          <w:p w:rsidR="00FB0D0B" w:rsidRPr="00F21B7C" w:rsidRDefault="003D40F6" w:rsidP="00F21B7C">
            <w:pPr>
              <w:ind w:firstLineChars="300" w:firstLine="720"/>
              <w:rPr>
                <w:rFonts w:ascii="標楷體" w:eastAsia="標楷體" w:hAnsi="標楷體"/>
              </w:rPr>
            </w:pPr>
            <w:r w:rsidRPr="00F21B7C">
              <w:rPr>
                <w:rFonts w:ascii="標楷體" w:eastAsia="標楷體" w:hAnsi="標楷體" w:hint="eastAsia"/>
              </w:rPr>
              <w:t>教育部例行評鑑與大學退場機制</w:t>
            </w:r>
          </w:p>
        </w:tc>
      </w:tr>
    </w:tbl>
    <w:p w:rsidR="004020CA" w:rsidRPr="00AC2F32" w:rsidRDefault="004020CA">
      <w:pPr>
        <w:rPr>
          <w:rFonts w:ascii="標楷體" w:eastAsia="標楷體" w:hAnsi="標楷體"/>
        </w:rPr>
      </w:pPr>
    </w:p>
    <w:sectPr w:rsidR="004020CA" w:rsidRPr="00AC2F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45" w:rsidRDefault="00913845" w:rsidP="00FB3891">
      <w:r>
        <w:separator/>
      </w:r>
    </w:p>
  </w:endnote>
  <w:endnote w:type="continuationSeparator" w:id="0">
    <w:p w:rsidR="00913845" w:rsidRDefault="00913845" w:rsidP="00FB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45" w:rsidRDefault="00913845" w:rsidP="00FB3891">
      <w:r>
        <w:separator/>
      </w:r>
    </w:p>
  </w:footnote>
  <w:footnote w:type="continuationSeparator" w:id="0">
    <w:p w:rsidR="00913845" w:rsidRDefault="00913845" w:rsidP="00FB3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FB9"/>
    <w:multiLevelType w:val="hybridMultilevel"/>
    <w:tmpl w:val="BD447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762277"/>
    <w:multiLevelType w:val="hybridMultilevel"/>
    <w:tmpl w:val="CE3A1860"/>
    <w:lvl w:ilvl="0" w:tplc="DE60C1A6">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F0"/>
    <w:rsid w:val="00070A7C"/>
    <w:rsid w:val="00096E84"/>
    <w:rsid w:val="00173664"/>
    <w:rsid w:val="0019736C"/>
    <w:rsid w:val="003D40F6"/>
    <w:rsid w:val="004020CA"/>
    <w:rsid w:val="00591FC1"/>
    <w:rsid w:val="008606BE"/>
    <w:rsid w:val="00882ED3"/>
    <w:rsid w:val="00913845"/>
    <w:rsid w:val="00967AFD"/>
    <w:rsid w:val="00992801"/>
    <w:rsid w:val="00A14C79"/>
    <w:rsid w:val="00A24F63"/>
    <w:rsid w:val="00AC2F32"/>
    <w:rsid w:val="00C1325D"/>
    <w:rsid w:val="00D103F0"/>
    <w:rsid w:val="00D23B96"/>
    <w:rsid w:val="00E020F7"/>
    <w:rsid w:val="00F21B7C"/>
    <w:rsid w:val="00FB0D0B"/>
    <w:rsid w:val="00FB3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0D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891"/>
    <w:pPr>
      <w:tabs>
        <w:tab w:val="center" w:pos="4153"/>
        <w:tab w:val="right" w:pos="8306"/>
      </w:tabs>
      <w:snapToGrid w:val="0"/>
    </w:pPr>
    <w:rPr>
      <w:sz w:val="20"/>
      <w:szCs w:val="20"/>
    </w:rPr>
  </w:style>
  <w:style w:type="character" w:customStyle="1" w:styleId="a5">
    <w:name w:val="頁首 字元"/>
    <w:link w:val="a4"/>
    <w:uiPriority w:val="99"/>
    <w:rsid w:val="00FB3891"/>
    <w:rPr>
      <w:kern w:val="2"/>
    </w:rPr>
  </w:style>
  <w:style w:type="paragraph" w:styleId="a6">
    <w:name w:val="footer"/>
    <w:basedOn w:val="a"/>
    <w:link w:val="a7"/>
    <w:uiPriority w:val="99"/>
    <w:unhideWhenUsed/>
    <w:rsid w:val="00FB3891"/>
    <w:pPr>
      <w:tabs>
        <w:tab w:val="center" w:pos="4153"/>
        <w:tab w:val="right" w:pos="8306"/>
      </w:tabs>
      <w:snapToGrid w:val="0"/>
    </w:pPr>
    <w:rPr>
      <w:sz w:val="20"/>
      <w:szCs w:val="20"/>
    </w:rPr>
  </w:style>
  <w:style w:type="character" w:customStyle="1" w:styleId="a7">
    <w:name w:val="頁尾 字元"/>
    <w:link w:val="a6"/>
    <w:uiPriority w:val="99"/>
    <w:rsid w:val="00FB389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0D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891"/>
    <w:pPr>
      <w:tabs>
        <w:tab w:val="center" w:pos="4153"/>
        <w:tab w:val="right" w:pos="8306"/>
      </w:tabs>
      <w:snapToGrid w:val="0"/>
    </w:pPr>
    <w:rPr>
      <w:sz w:val="20"/>
      <w:szCs w:val="20"/>
    </w:rPr>
  </w:style>
  <w:style w:type="character" w:customStyle="1" w:styleId="a5">
    <w:name w:val="頁首 字元"/>
    <w:link w:val="a4"/>
    <w:uiPriority w:val="99"/>
    <w:rsid w:val="00FB3891"/>
    <w:rPr>
      <w:kern w:val="2"/>
    </w:rPr>
  </w:style>
  <w:style w:type="paragraph" w:styleId="a6">
    <w:name w:val="footer"/>
    <w:basedOn w:val="a"/>
    <w:link w:val="a7"/>
    <w:uiPriority w:val="99"/>
    <w:unhideWhenUsed/>
    <w:rsid w:val="00FB3891"/>
    <w:pPr>
      <w:tabs>
        <w:tab w:val="center" w:pos="4153"/>
        <w:tab w:val="right" w:pos="8306"/>
      </w:tabs>
      <w:snapToGrid w:val="0"/>
    </w:pPr>
    <w:rPr>
      <w:sz w:val="20"/>
      <w:szCs w:val="20"/>
    </w:rPr>
  </w:style>
  <w:style w:type="character" w:customStyle="1" w:styleId="a7">
    <w:name w:val="頁尾 字元"/>
    <w:link w:val="a6"/>
    <w:uiPriority w:val="99"/>
    <w:rsid w:val="00FB38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運動健康與休閒系SWOT分析</dc:title>
  <dc:creator>婉婷</dc:creator>
  <cp:lastModifiedBy>劉小意</cp:lastModifiedBy>
  <cp:revision>2</cp:revision>
  <dcterms:created xsi:type="dcterms:W3CDTF">2016-12-20T02:35:00Z</dcterms:created>
  <dcterms:modified xsi:type="dcterms:W3CDTF">2016-12-20T02:35:00Z</dcterms:modified>
</cp:coreProperties>
</file>