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E4" w:rsidRPr="00C759AF" w:rsidRDefault="007B63E4" w:rsidP="00AE62DD">
      <w:pPr>
        <w:jc w:val="center"/>
        <w:rPr>
          <w:rFonts w:ascii="標楷體" w:eastAsia="標楷體" w:hAnsi="標楷體"/>
          <w:b/>
          <w:sz w:val="32"/>
          <w:szCs w:val="32"/>
        </w:rPr>
      </w:pPr>
      <w:bookmarkStart w:id="0" w:name="_GoBack"/>
      <w:bookmarkEnd w:id="0"/>
      <w:r w:rsidRPr="00C759AF">
        <w:rPr>
          <w:rFonts w:ascii="標楷體" w:eastAsia="標楷體" w:hAnsi="標楷體" w:hint="eastAsia"/>
          <w:b/>
          <w:sz w:val="32"/>
          <w:szCs w:val="32"/>
        </w:rPr>
        <w:t>本位課程模組</w:t>
      </w:r>
    </w:p>
    <w:p w:rsidR="007B63E4" w:rsidRPr="00FE1684" w:rsidRDefault="007B63E4" w:rsidP="00FE1684">
      <w:pPr>
        <w:tabs>
          <w:tab w:val="left" w:pos="720"/>
        </w:tabs>
        <w:jc w:val="both"/>
        <w:rPr>
          <w:rFonts w:ascii="標楷體" w:eastAsia="標楷體" w:hAnsi="標楷體"/>
          <w:b/>
          <w:szCs w:val="24"/>
        </w:rPr>
      </w:pPr>
      <w:r w:rsidRPr="00FE1684">
        <w:rPr>
          <w:rFonts w:ascii="標楷體" w:eastAsia="標楷體" w:hAnsi="標楷體" w:hint="eastAsia"/>
          <w:b/>
          <w:szCs w:val="24"/>
        </w:rPr>
        <w:t>一、課程發展規劃原則：</w:t>
      </w:r>
    </w:p>
    <w:p w:rsidR="007B63E4" w:rsidRDefault="00FE1684" w:rsidP="00FE1684">
      <w:pPr>
        <w:spacing w:beforeLines="50" w:before="180" w:afterLines="50" w:after="180"/>
        <w:ind w:firstLineChars="200" w:firstLine="480"/>
        <w:jc w:val="both"/>
        <w:rPr>
          <w:rFonts w:ascii="標楷體" w:eastAsia="標楷體" w:hAnsi="標楷體"/>
          <w:szCs w:val="24"/>
        </w:rPr>
      </w:pPr>
      <w:proofErr w:type="gramStart"/>
      <w:r w:rsidRPr="00FE1684">
        <w:rPr>
          <w:rFonts w:ascii="標楷體" w:eastAsia="標楷體" w:hAnsi="標楷體" w:hint="eastAsia"/>
          <w:szCs w:val="24"/>
        </w:rPr>
        <w:t>1970</w:t>
      </w:r>
      <w:proofErr w:type="gramEnd"/>
      <w:r w:rsidRPr="00FE1684">
        <w:rPr>
          <w:rFonts w:ascii="標楷體" w:eastAsia="標楷體" w:hAnsi="標楷體" w:hint="eastAsia"/>
          <w:szCs w:val="24"/>
        </w:rPr>
        <w:t>年代以降，在華人流行音樂的國度裡，台灣一直為產業的整體發展重鎮與運轉中心。到了</w:t>
      </w:r>
      <w:r w:rsidRPr="00FE1684">
        <w:rPr>
          <w:rFonts w:ascii="標楷體" w:eastAsia="標楷體" w:hAnsi="標楷體"/>
          <w:szCs w:val="24"/>
        </w:rPr>
        <w:t>90</w:t>
      </w:r>
      <w:r w:rsidRPr="00FE1684">
        <w:rPr>
          <w:rFonts w:ascii="標楷體" w:eastAsia="標楷體" w:hAnsi="標楷體" w:hint="eastAsia"/>
          <w:szCs w:val="24"/>
        </w:rPr>
        <w:t>年代，台灣的流行音樂因音樂公司將流行音樂產業化後，從人才培育、企劃、宣傳到行銷網絡的完整深耕，並適值跨國性唱片公司進入台灣市場，使得台灣唱片銷售與市場產值逐年攀升，並於</w:t>
      </w:r>
      <w:r w:rsidRPr="00FE1684">
        <w:rPr>
          <w:rFonts w:ascii="標楷體" w:eastAsia="標楷體" w:hAnsi="標楷體"/>
          <w:szCs w:val="24"/>
        </w:rPr>
        <w:t>1997</w:t>
      </w:r>
      <w:r w:rsidRPr="00FE1684">
        <w:rPr>
          <w:rFonts w:ascii="標楷體" w:eastAsia="標楷體" w:hAnsi="標楷體" w:hint="eastAsia"/>
          <w:szCs w:val="24"/>
        </w:rPr>
        <w:t>年創下</w:t>
      </w:r>
      <w:r w:rsidRPr="00FE1684">
        <w:rPr>
          <w:rFonts w:ascii="標楷體" w:eastAsia="標楷體" w:hAnsi="標楷體"/>
          <w:szCs w:val="24"/>
        </w:rPr>
        <w:t>123</w:t>
      </w:r>
      <w:r w:rsidRPr="00FE1684">
        <w:rPr>
          <w:rFonts w:ascii="標楷體" w:eastAsia="標楷體" w:hAnsi="標楷體" w:hint="eastAsia"/>
          <w:szCs w:val="24"/>
        </w:rPr>
        <w:t>億的亮眼銷售金額，以至流行音樂產業被視為文化產業中的代表性產業，建立起臺灣在華語流行音樂界之龍頭地位。</w:t>
      </w:r>
      <w:r w:rsidR="007B63E4">
        <w:rPr>
          <w:rFonts w:ascii="標楷體" w:eastAsia="標楷體" w:hAnsi="標楷體" w:hint="eastAsia"/>
          <w:szCs w:val="24"/>
        </w:rPr>
        <w:t>因此在進行</w:t>
      </w:r>
      <w:r>
        <w:rPr>
          <w:rFonts w:ascii="標楷體" w:eastAsia="標楷體" w:hAnsi="標楷體" w:hint="eastAsia"/>
          <w:szCs w:val="24"/>
        </w:rPr>
        <w:t>流行音樂</w:t>
      </w:r>
      <w:r w:rsidR="007B63E4">
        <w:rPr>
          <w:rFonts w:ascii="標楷體" w:eastAsia="標楷體" w:hAnsi="標楷體" w:hint="eastAsia"/>
          <w:szCs w:val="24"/>
        </w:rPr>
        <w:t>事業學士學位學程之課程規劃時，以下列幾項原則來進行考量與規劃：</w:t>
      </w:r>
    </w:p>
    <w:p w:rsidR="007B63E4" w:rsidRPr="00FE1684" w:rsidRDefault="007B63E4" w:rsidP="00FE1684">
      <w:pPr>
        <w:spacing w:afterLines="50" w:after="180"/>
        <w:jc w:val="both"/>
        <w:rPr>
          <w:rFonts w:ascii="標楷體" w:eastAsia="標楷體" w:hAnsi="標楷體"/>
          <w:b/>
          <w:szCs w:val="24"/>
        </w:rPr>
      </w:pPr>
      <w:r w:rsidRPr="00FE1684">
        <w:rPr>
          <w:rFonts w:ascii="標楷體" w:eastAsia="標楷體" w:hAnsi="標楷體"/>
          <w:b/>
          <w:szCs w:val="24"/>
        </w:rPr>
        <w:t>1.</w:t>
      </w:r>
      <w:r w:rsidRPr="00FE1684">
        <w:rPr>
          <w:rFonts w:ascii="標楷體" w:eastAsia="標楷體" w:hAnsi="標楷體" w:hint="eastAsia"/>
          <w:b/>
          <w:szCs w:val="24"/>
        </w:rPr>
        <w:t>配合國家發展需求：</w:t>
      </w:r>
    </w:p>
    <w:p w:rsidR="00FE1684" w:rsidRPr="00C533F1" w:rsidRDefault="007B63E4" w:rsidP="00FE1684">
      <w:pPr>
        <w:snapToGrid w:val="0"/>
        <w:spacing w:line="300" w:lineRule="auto"/>
        <w:jc w:val="both"/>
        <w:rPr>
          <w:rFonts w:ascii="標楷體" w:eastAsia="標楷體" w:hAnsi="標楷體" w:hint="eastAsia"/>
          <w:szCs w:val="24"/>
        </w:rPr>
      </w:pPr>
      <w:r w:rsidRPr="00C759AF">
        <w:rPr>
          <w:rFonts w:ascii="標楷體" w:eastAsia="標楷體" w:hAnsi="標楷體"/>
          <w:szCs w:val="24"/>
        </w:rPr>
        <w:t xml:space="preserve">   </w:t>
      </w:r>
      <w:r w:rsidR="00FE1684">
        <w:rPr>
          <w:rFonts w:ascii="標楷體" w:eastAsia="標楷體" w:hAnsi="標楷體" w:hint="eastAsia"/>
          <w:szCs w:val="24"/>
        </w:rPr>
        <w:t xml:space="preserve"> </w:t>
      </w:r>
      <w:r w:rsidR="00FE1684" w:rsidRPr="00FE1684">
        <w:rPr>
          <w:rFonts w:ascii="標楷體" w:eastAsia="標楷體" w:hAnsi="標楷體"/>
          <w:szCs w:val="24"/>
        </w:rPr>
        <w:t>台灣流行音樂因富有多</w:t>
      </w:r>
      <w:r w:rsidR="00FE1684" w:rsidRPr="00C533F1">
        <w:rPr>
          <w:rFonts w:ascii="標楷體" w:eastAsia="標楷體" w:hAnsi="標楷體"/>
          <w:szCs w:val="24"/>
        </w:rPr>
        <w:t>元性和包容性而居目前華語市場的占有率為80</w:t>
      </w:r>
      <w:proofErr w:type="gramStart"/>
      <w:r w:rsidR="00FE1684" w:rsidRPr="00C533F1">
        <w:rPr>
          <w:rFonts w:ascii="標楷體" w:eastAsia="標楷體" w:hAnsi="標楷體"/>
          <w:szCs w:val="24"/>
        </w:rPr>
        <w:t>﹪</w:t>
      </w:r>
      <w:proofErr w:type="gramEnd"/>
      <w:r w:rsidR="00FE1684" w:rsidRPr="00C533F1">
        <w:rPr>
          <w:rFonts w:ascii="標楷體" w:eastAsia="標楷體" w:hAnsi="標楷體"/>
          <w:szCs w:val="24"/>
        </w:rPr>
        <w:t>，而 根據文化部委託之研究統計，101年臺灣流行音樂產業總產值約為123.92億元，在可估算的範圍內，KT</w:t>
      </w:r>
      <w:r w:rsidR="00FE1684" w:rsidRPr="00C533F1">
        <w:rPr>
          <w:rFonts w:ascii="標楷體" w:eastAsia="標楷體" w:hAnsi="標楷體" w:hint="eastAsia"/>
          <w:szCs w:val="24"/>
        </w:rPr>
        <w:t>V包廂和餐飲費用等附加產值更高達67.12億元以上，近二年，隨著音樂展演、數位音樂與商品廣告等活動的逐年增加，整體流行音樂的總產值逼近200億元以上，而若以財政部財稅中心營業稅的彙整資料來看，台灣流行音樂產業營業額</w:t>
      </w:r>
      <w:r w:rsidR="00FE1684" w:rsidRPr="00C533F1">
        <w:rPr>
          <w:rFonts w:ascii="標楷體" w:eastAsia="標楷體" w:hAnsi="標楷體"/>
          <w:szCs w:val="24"/>
        </w:rPr>
        <w:t>(</w:t>
      </w:r>
      <w:r w:rsidR="00FE1684" w:rsidRPr="00C533F1">
        <w:rPr>
          <w:rFonts w:ascii="標楷體" w:eastAsia="標楷體" w:hAnsi="標楷體" w:hint="eastAsia"/>
          <w:szCs w:val="24"/>
        </w:rPr>
        <w:t>銷售額</w:t>
      </w:r>
      <w:r w:rsidR="00FE1684" w:rsidRPr="00C533F1">
        <w:rPr>
          <w:rFonts w:ascii="標楷體" w:eastAsia="標楷體" w:hAnsi="標楷體"/>
          <w:szCs w:val="24"/>
        </w:rPr>
        <w:t>)</w:t>
      </w:r>
      <w:r w:rsidR="00FE1684" w:rsidRPr="00C533F1">
        <w:rPr>
          <w:rFonts w:ascii="標楷體" w:eastAsia="標楷體" w:hAnsi="標楷體" w:hint="eastAsia"/>
          <w:szCs w:val="24"/>
        </w:rPr>
        <w:t>變化情形，近五年產業營業額從</w:t>
      </w:r>
      <w:r w:rsidR="00FE1684" w:rsidRPr="00C533F1">
        <w:rPr>
          <w:rFonts w:ascii="標楷體" w:eastAsia="標楷體" w:hAnsi="標楷體"/>
          <w:szCs w:val="24"/>
        </w:rPr>
        <w:t>97</w:t>
      </w:r>
      <w:r w:rsidR="00FE1684" w:rsidRPr="00C533F1">
        <w:rPr>
          <w:rFonts w:ascii="標楷體" w:eastAsia="標楷體" w:hAnsi="標楷體" w:hint="eastAsia"/>
          <w:szCs w:val="24"/>
        </w:rPr>
        <w:t>年的</w:t>
      </w:r>
      <w:r w:rsidR="00FE1684" w:rsidRPr="00C533F1">
        <w:rPr>
          <w:rFonts w:ascii="標楷體" w:eastAsia="標楷體" w:hAnsi="標楷體"/>
          <w:szCs w:val="24"/>
        </w:rPr>
        <w:t>337.71</w:t>
      </w:r>
      <w:r w:rsidR="00FE1684" w:rsidRPr="00C533F1">
        <w:rPr>
          <w:rFonts w:ascii="標楷體" w:eastAsia="標楷體" w:hAnsi="標楷體" w:hint="eastAsia"/>
          <w:szCs w:val="24"/>
        </w:rPr>
        <w:t>億元成長至</w:t>
      </w:r>
      <w:r w:rsidR="00FE1684" w:rsidRPr="00C533F1">
        <w:rPr>
          <w:rFonts w:ascii="標楷體" w:eastAsia="標楷體" w:hAnsi="標楷體"/>
          <w:szCs w:val="24"/>
        </w:rPr>
        <w:t>101</w:t>
      </w:r>
      <w:r w:rsidR="00FE1684" w:rsidRPr="00C533F1">
        <w:rPr>
          <w:rFonts w:ascii="標楷體" w:eastAsia="標楷體" w:hAnsi="標楷體" w:hint="eastAsia"/>
          <w:szCs w:val="24"/>
        </w:rPr>
        <w:t>年的</w:t>
      </w:r>
      <w:r w:rsidR="00FE1684" w:rsidRPr="00C533F1">
        <w:rPr>
          <w:rFonts w:ascii="標楷體" w:eastAsia="標楷體" w:hAnsi="標楷體"/>
          <w:szCs w:val="24"/>
        </w:rPr>
        <w:t>362.82</w:t>
      </w:r>
      <w:r w:rsidR="00FE1684" w:rsidRPr="00C533F1">
        <w:rPr>
          <w:rFonts w:ascii="標楷體" w:eastAsia="標楷體" w:hAnsi="標楷體" w:hint="eastAsia"/>
          <w:szCs w:val="24"/>
        </w:rPr>
        <w:t>億元，相較於100年成長</w:t>
      </w:r>
      <w:r w:rsidR="00FE1684" w:rsidRPr="00C533F1">
        <w:rPr>
          <w:rFonts w:ascii="標楷體" w:eastAsia="標楷體" w:hAnsi="標楷體"/>
          <w:szCs w:val="24"/>
        </w:rPr>
        <w:t>1.46%</w:t>
      </w:r>
      <w:r w:rsidR="00FE1684" w:rsidRPr="00C533F1">
        <w:rPr>
          <w:rFonts w:ascii="標楷體" w:eastAsia="標楷體" w:hAnsi="標楷體" w:hint="eastAsia"/>
          <w:szCs w:val="24"/>
        </w:rPr>
        <w:t>。2014年的</w:t>
      </w:r>
      <w:proofErr w:type="gramStart"/>
      <w:r w:rsidR="00FE1684" w:rsidRPr="00C533F1">
        <w:rPr>
          <w:rFonts w:ascii="標楷體" w:eastAsia="標楷體" w:hAnsi="標楷體" w:hint="eastAsia"/>
          <w:szCs w:val="24"/>
        </w:rPr>
        <w:t>台灣文創發展</w:t>
      </w:r>
      <w:proofErr w:type="gramEnd"/>
      <w:r w:rsidR="00FE1684" w:rsidRPr="00C533F1">
        <w:rPr>
          <w:rFonts w:ascii="標楷體" w:eastAsia="標楷體" w:hAnsi="標楷體" w:hint="eastAsia"/>
          <w:szCs w:val="24"/>
        </w:rPr>
        <w:t>年報中，顯示流行音樂及文化內容產業的總營業額為315億，占比為4.50％，其外銷營業額132億，占比為4.18％，</w:t>
      </w:r>
      <w:proofErr w:type="gramStart"/>
      <w:r w:rsidR="00FE1684" w:rsidRPr="00C533F1">
        <w:rPr>
          <w:rFonts w:ascii="標楷體" w:eastAsia="標楷體" w:hAnsi="標楷體" w:hint="eastAsia"/>
          <w:szCs w:val="24"/>
        </w:rPr>
        <w:t>均為各</w:t>
      </w:r>
      <w:proofErr w:type="gramEnd"/>
      <w:r w:rsidR="00FE1684" w:rsidRPr="00C533F1">
        <w:rPr>
          <w:rFonts w:ascii="標楷體" w:eastAsia="標楷體" w:hAnsi="標楷體" w:hint="eastAsia"/>
          <w:szCs w:val="24"/>
        </w:rPr>
        <w:t xml:space="preserve">產業的前5名。   </w:t>
      </w:r>
    </w:p>
    <w:p w:rsidR="00FE1684" w:rsidRPr="00C533F1" w:rsidRDefault="00FE1684" w:rsidP="00FE1684">
      <w:pPr>
        <w:snapToGrid w:val="0"/>
        <w:spacing w:line="300" w:lineRule="auto"/>
        <w:ind w:firstLineChars="200" w:firstLine="480"/>
        <w:jc w:val="both"/>
        <w:rPr>
          <w:rFonts w:ascii="標楷體" w:eastAsia="標楷體" w:hAnsi="標楷體" w:hint="eastAsia"/>
          <w:szCs w:val="24"/>
        </w:rPr>
      </w:pPr>
      <w:r w:rsidRPr="00C533F1">
        <w:rPr>
          <w:rFonts w:ascii="標楷體" w:eastAsia="標楷體" w:hAnsi="標楷體" w:hint="eastAsia"/>
          <w:szCs w:val="24"/>
        </w:rPr>
        <w:t>另外，以音樂表演為基礎所發展出之消費行為，包括：唱片、</w:t>
      </w:r>
      <w:r w:rsidR="00F913F9" w:rsidRPr="00C533F1">
        <w:rPr>
          <w:rFonts w:ascii="標楷體" w:eastAsia="標楷體" w:hAnsi="標楷體" w:hint="eastAsia"/>
          <w:szCs w:val="24"/>
        </w:rPr>
        <w:t>各類型售票演唱會、</w:t>
      </w:r>
      <w:r w:rsidRPr="00C533F1">
        <w:rPr>
          <w:rFonts w:ascii="標楷體" w:eastAsia="標楷體" w:hAnsi="標楷體" w:hint="eastAsia"/>
          <w:szCs w:val="24"/>
        </w:rPr>
        <w:t>音樂展演、KTV，以及與電信結合的數位音樂，相關消費行為與產值均逐年提升，尤其是寬頻串流收聽與</w:t>
      </w:r>
      <w:smartTag w:uri="urn:schemas-microsoft-com:office:smarttags" w:element="chmetcnv">
        <w:smartTagPr>
          <w:attr w:name="UnitName" w:val="g"/>
          <w:attr w:name="SourceValue" w:val="4"/>
          <w:attr w:name="HasSpace" w:val="False"/>
          <w:attr w:name="Negative" w:val="False"/>
          <w:attr w:name="NumberType" w:val="1"/>
          <w:attr w:name="TCSC" w:val="0"/>
        </w:smartTagPr>
        <w:r w:rsidRPr="00C533F1">
          <w:rPr>
            <w:rFonts w:ascii="標楷體" w:eastAsia="標楷體" w:hAnsi="標楷體" w:hint="eastAsia"/>
            <w:szCs w:val="24"/>
          </w:rPr>
          <w:t>4G</w:t>
        </w:r>
      </w:smartTag>
      <w:r w:rsidRPr="00C533F1">
        <w:rPr>
          <w:rFonts w:ascii="標楷體" w:eastAsia="標楷體" w:hAnsi="標楷體" w:hint="eastAsia"/>
          <w:szCs w:val="24"/>
        </w:rPr>
        <w:t>之數位影音加值服務，而這些還不包括該產業而衍生出來的「品牌認同」、「產業群聚」、「旅遊觀光」、「音樂展演」等附加產值而產出的巨大經濟效益，由此顯見，台灣未來的流行音樂市場有極大的發展空間，且更需大量的人才和人力的供求。</w:t>
      </w:r>
    </w:p>
    <w:p w:rsidR="007B63E4" w:rsidRPr="00C533F1" w:rsidRDefault="00FE1684" w:rsidP="00FE1684">
      <w:pPr>
        <w:spacing w:afterLines="50" w:after="180"/>
        <w:ind w:leftChars="-324" w:hangingChars="324" w:hanging="778"/>
        <w:rPr>
          <w:rFonts w:ascii="標楷體" w:eastAsia="標楷體" w:hAnsi="標楷體"/>
          <w:b/>
          <w:szCs w:val="24"/>
        </w:rPr>
      </w:pPr>
      <w:r w:rsidRPr="00C533F1">
        <w:rPr>
          <w:rFonts w:ascii="標楷體" w:eastAsia="標楷體" w:hAnsi="標楷體" w:hint="eastAsia"/>
          <w:szCs w:val="24"/>
        </w:rPr>
        <w:t xml:space="preserve">     </w:t>
      </w:r>
      <w:r w:rsidRPr="00C533F1">
        <w:rPr>
          <w:rFonts w:ascii="標楷體" w:eastAsia="標楷體" w:hAnsi="標楷體" w:hint="eastAsia"/>
          <w:b/>
          <w:szCs w:val="24"/>
        </w:rPr>
        <w:t xml:space="preserve"> </w:t>
      </w:r>
      <w:r w:rsidR="007B63E4" w:rsidRPr="00C533F1">
        <w:rPr>
          <w:rFonts w:ascii="標楷體" w:eastAsia="標楷體" w:hAnsi="標楷體"/>
          <w:b/>
          <w:szCs w:val="24"/>
        </w:rPr>
        <w:t>2.</w:t>
      </w:r>
      <w:r w:rsidR="007B63E4" w:rsidRPr="00C533F1">
        <w:rPr>
          <w:rFonts w:ascii="標楷體" w:eastAsia="標楷體" w:hAnsi="標楷體" w:hint="eastAsia"/>
          <w:b/>
          <w:szCs w:val="24"/>
        </w:rPr>
        <w:t>與</w:t>
      </w:r>
      <w:r w:rsidRPr="00C533F1">
        <w:rPr>
          <w:rFonts w:ascii="標楷體" w:eastAsia="標楷體" w:hAnsi="標楷體" w:hint="eastAsia"/>
          <w:b/>
          <w:szCs w:val="24"/>
        </w:rPr>
        <w:t>音樂</w:t>
      </w:r>
      <w:r w:rsidR="007B63E4" w:rsidRPr="00C533F1">
        <w:rPr>
          <w:rFonts w:ascii="標楷體" w:eastAsia="標楷體" w:hAnsi="標楷體" w:hint="eastAsia"/>
          <w:b/>
          <w:szCs w:val="24"/>
        </w:rPr>
        <w:t>相關事業之市場相結合：</w:t>
      </w:r>
    </w:p>
    <w:p w:rsidR="007B63E4" w:rsidRDefault="007B63E4" w:rsidP="00FE1684">
      <w:pPr>
        <w:spacing w:beforeLines="50" w:before="180" w:afterLines="50" w:after="180"/>
        <w:jc w:val="both"/>
        <w:rPr>
          <w:rFonts w:ascii="標楷體" w:eastAsia="標楷體" w:hAnsi="標楷體"/>
          <w:szCs w:val="24"/>
        </w:rPr>
      </w:pPr>
      <w:r w:rsidRPr="00C533F1">
        <w:rPr>
          <w:rFonts w:ascii="標楷體" w:eastAsia="標楷體" w:hAnsi="標楷體"/>
          <w:szCs w:val="24"/>
        </w:rPr>
        <w:t xml:space="preserve">    </w:t>
      </w:r>
      <w:r w:rsidR="00FE1684" w:rsidRPr="00C533F1">
        <w:rPr>
          <w:rFonts w:ascii="標楷體" w:eastAsia="標楷體" w:hAnsi="標楷體" w:hint="eastAsia"/>
          <w:szCs w:val="24"/>
        </w:rPr>
        <w:t>台灣的流行音樂產業鏈結構含</w:t>
      </w:r>
      <w:proofErr w:type="gramStart"/>
      <w:r w:rsidR="00FE1684" w:rsidRPr="00C533F1">
        <w:rPr>
          <w:rFonts w:ascii="標楷體" w:eastAsia="標楷體" w:hAnsi="標楷體" w:hint="eastAsia"/>
          <w:szCs w:val="24"/>
        </w:rPr>
        <w:t>括</w:t>
      </w:r>
      <w:proofErr w:type="gramEnd"/>
      <w:r w:rsidR="00FE1684" w:rsidRPr="00C533F1">
        <w:rPr>
          <w:rFonts w:ascii="標楷體" w:eastAsia="標楷體" w:hAnsi="標楷體" w:hint="eastAsia"/>
          <w:szCs w:val="24"/>
        </w:rPr>
        <w:t>音樂娛樂公司、數位音樂服務業者、音樂著作權仲介團體、策展業者（包含票</w:t>
      </w:r>
      <w:proofErr w:type="gramStart"/>
      <w:r w:rsidR="00FE1684" w:rsidRPr="00C533F1">
        <w:rPr>
          <w:rFonts w:ascii="標楷體" w:eastAsia="標楷體" w:hAnsi="標楷體" w:hint="eastAsia"/>
          <w:szCs w:val="24"/>
        </w:rPr>
        <w:t>務</w:t>
      </w:r>
      <w:proofErr w:type="gramEnd"/>
      <w:r w:rsidR="00FE1684" w:rsidRPr="00C533F1">
        <w:rPr>
          <w:rFonts w:ascii="標楷體" w:eastAsia="標楷體" w:hAnsi="標楷體" w:hint="eastAsia"/>
          <w:szCs w:val="24"/>
        </w:rPr>
        <w:t>、經紀公司、小型知名展演空間、演唱會推動者等）、</w:t>
      </w:r>
      <w:r w:rsidR="00FE1684" w:rsidRPr="00C533F1">
        <w:rPr>
          <w:rFonts w:ascii="標楷體" w:eastAsia="標楷體" w:hAnsi="標楷體"/>
          <w:szCs w:val="24"/>
        </w:rPr>
        <w:t>KTV及</w:t>
      </w:r>
      <w:r w:rsidR="00FE1684" w:rsidRPr="00C533F1">
        <w:rPr>
          <w:rFonts w:ascii="標楷體" w:eastAsia="標楷體" w:hAnsi="標楷體" w:hint="eastAsia"/>
          <w:szCs w:val="24"/>
        </w:rPr>
        <w:t>伴唱帶（包含</w:t>
      </w:r>
      <w:r w:rsidR="00FE1684" w:rsidRPr="00C533F1">
        <w:rPr>
          <w:rFonts w:ascii="標楷體" w:eastAsia="標楷體" w:hAnsi="標楷體"/>
          <w:szCs w:val="24"/>
        </w:rPr>
        <w:t>KTV</w:t>
      </w:r>
      <w:r w:rsidR="00FE1684" w:rsidRPr="00C533F1">
        <w:rPr>
          <w:rFonts w:ascii="標楷體" w:eastAsia="標楷體" w:hAnsi="標楷體" w:hint="eastAsia"/>
          <w:szCs w:val="24"/>
        </w:rPr>
        <w:t>業者及音樂伴唱帶業者）業者等項目。根據101年台灣流行音樂產業的調查報告顯示，我國流行音樂產業家數從</w:t>
      </w:r>
      <w:r w:rsidR="00FE1684" w:rsidRPr="00C533F1">
        <w:rPr>
          <w:rFonts w:ascii="標楷體" w:eastAsia="標楷體" w:hAnsi="標楷體"/>
          <w:szCs w:val="24"/>
        </w:rPr>
        <w:t>97</w:t>
      </w:r>
      <w:r w:rsidR="00FE1684" w:rsidRPr="00C533F1">
        <w:rPr>
          <w:rFonts w:ascii="標楷體" w:eastAsia="標楷體" w:hAnsi="標楷體" w:hint="eastAsia"/>
          <w:szCs w:val="24"/>
        </w:rPr>
        <w:t>年的</w:t>
      </w:r>
      <w:r w:rsidR="00FE1684" w:rsidRPr="00C533F1">
        <w:rPr>
          <w:rFonts w:ascii="標楷體" w:eastAsia="標楷體" w:hAnsi="標楷體"/>
          <w:szCs w:val="24"/>
        </w:rPr>
        <w:t>5,548</w:t>
      </w:r>
      <w:r w:rsidR="00FE1684" w:rsidRPr="00C533F1">
        <w:rPr>
          <w:rFonts w:ascii="標楷體" w:eastAsia="標楷體" w:hAnsi="標楷體" w:hint="eastAsia"/>
          <w:szCs w:val="24"/>
        </w:rPr>
        <w:t>家業者成長至</w:t>
      </w:r>
      <w:r w:rsidR="00FE1684" w:rsidRPr="00C533F1">
        <w:rPr>
          <w:rFonts w:ascii="標楷體" w:eastAsia="標楷體" w:hAnsi="標楷體"/>
          <w:szCs w:val="24"/>
        </w:rPr>
        <w:t>101</w:t>
      </w:r>
      <w:r w:rsidR="00FE1684" w:rsidRPr="00C533F1">
        <w:rPr>
          <w:rFonts w:ascii="標楷體" w:eastAsia="標楷體" w:hAnsi="標楷體" w:hint="eastAsia"/>
          <w:szCs w:val="24"/>
        </w:rPr>
        <w:t>年的</w:t>
      </w:r>
      <w:r w:rsidR="00FE1684" w:rsidRPr="00C533F1">
        <w:rPr>
          <w:rFonts w:ascii="標楷體" w:eastAsia="標楷體" w:hAnsi="標楷體"/>
          <w:szCs w:val="24"/>
        </w:rPr>
        <w:t>5,561</w:t>
      </w:r>
      <w:r w:rsidR="00FE1684" w:rsidRPr="00C533F1">
        <w:rPr>
          <w:rFonts w:ascii="標楷體" w:eastAsia="標楷體" w:hAnsi="標楷體" w:hint="eastAsia"/>
          <w:szCs w:val="24"/>
        </w:rPr>
        <w:t>家業者。以其產業值分析，產值最大的為｢</w:t>
      </w:r>
      <w:r w:rsidR="00FE1684" w:rsidRPr="00C533F1">
        <w:rPr>
          <w:rFonts w:ascii="標楷體" w:eastAsia="標楷體" w:hAnsi="標楷體"/>
          <w:szCs w:val="24"/>
        </w:rPr>
        <w:t>K</w:t>
      </w:r>
      <w:r w:rsidR="00FE1684" w:rsidRPr="00FE1684">
        <w:rPr>
          <w:rFonts w:ascii="標楷體" w:eastAsia="標楷體" w:hAnsi="標楷體"/>
          <w:szCs w:val="24"/>
        </w:rPr>
        <w:t>TV</w:t>
      </w:r>
      <w:r w:rsidR="00FE1684" w:rsidRPr="00FE1684">
        <w:rPr>
          <w:rFonts w:ascii="標楷體" w:eastAsia="標楷體" w:hAnsi="標楷體" w:hint="eastAsia"/>
          <w:szCs w:val="24"/>
        </w:rPr>
        <w:t>（伴唱帶）業者｣的</w:t>
      </w:r>
      <w:r w:rsidR="00FE1684" w:rsidRPr="00FE1684">
        <w:rPr>
          <w:rFonts w:ascii="標楷體" w:eastAsia="標楷體" w:hAnsi="標楷體"/>
          <w:szCs w:val="24"/>
        </w:rPr>
        <w:t xml:space="preserve">180.98 </w:t>
      </w:r>
      <w:r w:rsidR="00FE1684" w:rsidRPr="00FE1684">
        <w:rPr>
          <w:rFonts w:ascii="標楷體" w:eastAsia="標楷體" w:hAnsi="標楷體" w:hint="eastAsia"/>
          <w:szCs w:val="24"/>
        </w:rPr>
        <w:t>億元，占</w:t>
      </w:r>
      <w:r w:rsidR="00FE1684" w:rsidRPr="00FE1684">
        <w:rPr>
          <w:rFonts w:ascii="標楷體" w:eastAsia="標楷體" w:hAnsi="標楷體"/>
          <w:szCs w:val="24"/>
        </w:rPr>
        <w:t>49.88%</w:t>
      </w:r>
      <w:r w:rsidR="00FE1684" w:rsidRPr="00FE1684">
        <w:rPr>
          <w:rFonts w:ascii="標楷體" w:eastAsia="標楷體" w:hAnsi="標楷體" w:hint="eastAsia"/>
          <w:szCs w:val="24"/>
        </w:rPr>
        <w:t>、其次為｢音樂展演產業｣的</w:t>
      </w:r>
      <w:r w:rsidR="00FE1684" w:rsidRPr="00FE1684">
        <w:rPr>
          <w:rFonts w:ascii="標楷體" w:eastAsia="標楷體" w:hAnsi="標楷體"/>
          <w:szCs w:val="24"/>
        </w:rPr>
        <w:t xml:space="preserve">111.10 </w:t>
      </w:r>
      <w:r w:rsidR="00FE1684" w:rsidRPr="00FE1684">
        <w:rPr>
          <w:rFonts w:ascii="標楷體" w:eastAsia="標楷體" w:hAnsi="標楷體" w:hint="eastAsia"/>
          <w:szCs w:val="24"/>
        </w:rPr>
        <w:t>億元（</w:t>
      </w:r>
      <w:r w:rsidR="00FE1684" w:rsidRPr="00FE1684">
        <w:rPr>
          <w:rFonts w:ascii="標楷體" w:eastAsia="標楷體" w:hAnsi="標楷體"/>
          <w:szCs w:val="24"/>
        </w:rPr>
        <w:t>30.62%</w:t>
      </w:r>
      <w:r w:rsidR="00FE1684" w:rsidRPr="00FE1684">
        <w:rPr>
          <w:rFonts w:ascii="標楷體" w:eastAsia="標楷體" w:hAnsi="標楷體" w:hint="eastAsia"/>
          <w:szCs w:val="24"/>
        </w:rPr>
        <w:t>）、｢流行音樂有聲出版事業｣的</w:t>
      </w:r>
      <w:r w:rsidR="00FE1684" w:rsidRPr="00FE1684">
        <w:rPr>
          <w:rFonts w:ascii="標楷體" w:eastAsia="標楷體" w:hAnsi="標楷體"/>
          <w:szCs w:val="24"/>
        </w:rPr>
        <w:t>53.15</w:t>
      </w:r>
      <w:r w:rsidR="00FE1684" w:rsidRPr="00FE1684">
        <w:rPr>
          <w:rFonts w:ascii="標楷體" w:eastAsia="標楷體" w:hAnsi="標楷體" w:hint="eastAsia"/>
          <w:szCs w:val="24"/>
        </w:rPr>
        <w:t>億元（</w:t>
      </w:r>
      <w:r w:rsidR="00FE1684" w:rsidRPr="00FE1684">
        <w:rPr>
          <w:rFonts w:ascii="標楷體" w:eastAsia="標楷體" w:hAnsi="標楷體"/>
          <w:szCs w:val="24"/>
        </w:rPr>
        <w:t>14.65%</w:t>
      </w:r>
      <w:r w:rsidR="00FE1684" w:rsidRPr="00FE1684">
        <w:rPr>
          <w:rFonts w:ascii="標楷體" w:eastAsia="標楷體" w:hAnsi="標楷體" w:hint="eastAsia"/>
          <w:szCs w:val="24"/>
        </w:rPr>
        <w:t>）、｢流行音樂通路業者｣的</w:t>
      </w:r>
      <w:r w:rsidR="00FE1684" w:rsidRPr="00FE1684">
        <w:rPr>
          <w:rFonts w:ascii="標楷體" w:eastAsia="標楷體" w:hAnsi="標楷體"/>
          <w:szCs w:val="24"/>
        </w:rPr>
        <w:t xml:space="preserve">17.05 </w:t>
      </w:r>
      <w:r w:rsidR="00FE1684" w:rsidRPr="00FE1684">
        <w:rPr>
          <w:rFonts w:ascii="標楷體" w:eastAsia="標楷體" w:hAnsi="標楷體" w:hint="eastAsia"/>
          <w:szCs w:val="24"/>
        </w:rPr>
        <w:t>億元（</w:t>
      </w:r>
      <w:r w:rsidR="00FE1684" w:rsidRPr="00FE1684">
        <w:rPr>
          <w:rFonts w:ascii="標楷體" w:eastAsia="標楷體" w:hAnsi="標楷體"/>
          <w:szCs w:val="24"/>
        </w:rPr>
        <w:t>4.70%</w:t>
      </w:r>
      <w:r w:rsidR="00FE1684" w:rsidRPr="00FE1684">
        <w:rPr>
          <w:rFonts w:ascii="標楷體" w:eastAsia="標楷體" w:hAnsi="標楷體" w:hint="eastAsia"/>
          <w:szCs w:val="24"/>
        </w:rPr>
        <w:t>）、｢音樂教育培育產業｣的</w:t>
      </w:r>
      <w:r w:rsidR="00FE1684" w:rsidRPr="00FE1684">
        <w:rPr>
          <w:rFonts w:ascii="標楷體" w:eastAsia="標楷體" w:hAnsi="標楷體"/>
          <w:szCs w:val="24"/>
        </w:rPr>
        <w:t xml:space="preserve">0.54 </w:t>
      </w:r>
      <w:r w:rsidR="00FE1684" w:rsidRPr="00FE1684">
        <w:rPr>
          <w:rFonts w:ascii="標楷體" w:eastAsia="標楷體" w:hAnsi="標楷體" w:hint="eastAsia"/>
          <w:szCs w:val="24"/>
        </w:rPr>
        <w:t>億元（</w:t>
      </w:r>
      <w:r w:rsidR="00FE1684" w:rsidRPr="00FE1684">
        <w:rPr>
          <w:rFonts w:ascii="標楷體" w:eastAsia="標楷體" w:hAnsi="標楷體"/>
          <w:szCs w:val="24"/>
        </w:rPr>
        <w:t>0.15%</w:t>
      </w:r>
      <w:r w:rsidR="00FE1684" w:rsidRPr="00FE1684">
        <w:rPr>
          <w:rFonts w:ascii="標楷體" w:eastAsia="標楷體" w:hAnsi="標楷體" w:hint="eastAsia"/>
          <w:szCs w:val="24"/>
        </w:rPr>
        <w:t>）。</w:t>
      </w:r>
      <w:r w:rsidR="00FE1684" w:rsidRPr="00FE1684">
        <w:rPr>
          <w:rFonts w:ascii="標楷體" w:eastAsia="標楷體" w:hAnsi="標楷體" w:hint="eastAsia"/>
          <w:szCs w:val="24"/>
        </w:rPr>
        <w:lastRenderedPageBreak/>
        <w:t>從統計量化上觀之，台灣流行音樂產業仍在蓬勃發展之中，並於音樂人才培育的市場面向有極大的成長空間。</w:t>
      </w:r>
      <w:r>
        <w:rPr>
          <w:rFonts w:ascii="標楷體" w:eastAsia="標楷體" w:hAnsi="標楷體" w:hint="eastAsia"/>
          <w:szCs w:val="24"/>
        </w:rPr>
        <w:t>本學程之設立，除了賦予學生</w:t>
      </w:r>
      <w:r w:rsidR="00FE1684">
        <w:rPr>
          <w:rFonts w:ascii="標楷體" w:eastAsia="標楷體" w:hAnsi="標楷體" w:hint="eastAsia"/>
          <w:szCs w:val="24"/>
        </w:rPr>
        <w:t>流行音樂</w:t>
      </w:r>
      <w:r>
        <w:rPr>
          <w:rFonts w:ascii="標楷體" w:eastAsia="標楷體" w:hAnsi="標楷體" w:hint="eastAsia"/>
          <w:szCs w:val="24"/>
        </w:rPr>
        <w:t>事業所應具備的專業知識之外，更重視實務操作，並培養學生獨立思考之能力，以及兼容並蓄廣納創意元素之創新能力，同時，也與鄰近之</w:t>
      </w:r>
      <w:r w:rsidR="00FE1684">
        <w:rPr>
          <w:rFonts w:ascii="標楷體" w:eastAsia="標楷體" w:hAnsi="標楷體" w:hint="eastAsia"/>
          <w:szCs w:val="24"/>
        </w:rPr>
        <w:t>國際知名唱片公司</w:t>
      </w:r>
      <w:r>
        <w:rPr>
          <w:rFonts w:ascii="標楷體" w:eastAsia="標楷體" w:hAnsi="標楷體" w:hint="eastAsia"/>
          <w:szCs w:val="24"/>
        </w:rPr>
        <w:t>相結合，</w:t>
      </w:r>
      <w:r w:rsidR="00FE1684">
        <w:rPr>
          <w:rFonts w:ascii="標楷體" w:eastAsia="標楷體" w:hAnsi="標楷體" w:hint="eastAsia"/>
          <w:szCs w:val="24"/>
        </w:rPr>
        <w:t>簽訂產學合作及</w:t>
      </w:r>
      <w:r>
        <w:rPr>
          <w:rFonts w:ascii="標楷體" w:eastAsia="標楷體" w:hAnsi="標楷體" w:hint="eastAsia"/>
          <w:szCs w:val="24"/>
        </w:rPr>
        <w:t>引進業界師資，提供學生最能符合當前就業所需之專職技能。</w:t>
      </w:r>
    </w:p>
    <w:p w:rsidR="007B63E4" w:rsidRPr="00200F47" w:rsidRDefault="007B63E4" w:rsidP="004A2E5D">
      <w:pPr>
        <w:spacing w:beforeLines="50" w:before="180" w:afterLines="50" w:after="180"/>
        <w:rPr>
          <w:rFonts w:ascii="標楷體" w:eastAsia="標楷體" w:hAnsi="標楷體"/>
          <w:b/>
          <w:szCs w:val="24"/>
        </w:rPr>
      </w:pPr>
      <w:r w:rsidRPr="00200F47">
        <w:rPr>
          <w:rFonts w:ascii="標楷體" w:eastAsia="標楷體" w:hAnsi="標楷體"/>
          <w:b/>
          <w:szCs w:val="24"/>
        </w:rPr>
        <w:t>3.</w:t>
      </w:r>
      <w:r w:rsidRPr="00200F47">
        <w:rPr>
          <w:rFonts w:ascii="標楷體" w:eastAsia="標楷體" w:hAnsi="標楷體" w:hint="eastAsia"/>
          <w:b/>
          <w:szCs w:val="24"/>
        </w:rPr>
        <w:t>配合學校中長程發展目標及特色：</w:t>
      </w:r>
    </w:p>
    <w:p w:rsidR="007B63E4" w:rsidRDefault="007B63E4" w:rsidP="004A2E5D">
      <w:pPr>
        <w:spacing w:beforeLines="50" w:before="180" w:afterLines="50" w:after="180"/>
        <w:rPr>
          <w:rFonts w:ascii="標楷體" w:eastAsia="標楷體" w:hAnsi="標楷體"/>
          <w:szCs w:val="24"/>
        </w:rPr>
      </w:pPr>
      <w:r w:rsidRPr="00C759AF">
        <w:rPr>
          <w:rFonts w:ascii="標楷體" w:eastAsia="標楷體" w:hAnsi="標楷體"/>
          <w:szCs w:val="24"/>
        </w:rPr>
        <w:t xml:space="preserve">    </w:t>
      </w:r>
      <w:r w:rsidRPr="00C759AF">
        <w:rPr>
          <w:rFonts w:ascii="標楷體" w:eastAsia="標楷體" w:hAnsi="標楷體" w:hint="eastAsia"/>
          <w:szCs w:val="24"/>
        </w:rPr>
        <w:t>學校發展</w:t>
      </w:r>
      <w:proofErr w:type="gramStart"/>
      <w:r w:rsidRPr="00C759AF">
        <w:rPr>
          <w:rFonts w:ascii="標楷體" w:eastAsia="標楷體" w:hAnsi="標楷體" w:hint="eastAsia"/>
          <w:szCs w:val="24"/>
        </w:rPr>
        <w:t>目標係朝著</w:t>
      </w:r>
      <w:proofErr w:type="gramEnd"/>
      <w:r w:rsidRPr="00C759AF">
        <w:rPr>
          <w:rFonts w:ascii="標楷體" w:eastAsia="標楷體" w:hAnsi="標楷體" w:hint="eastAsia"/>
          <w:szCs w:val="24"/>
        </w:rPr>
        <w:t>「教學型科技大學」的目標邁進，本</w:t>
      </w:r>
      <w:r>
        <w:rPr>
          <w:rFonts w:ascii="標楷體" w:eastAsia="標楷體" w:hAnsi="標楷體" w:hint="eastAsia"/>
          <w:szCs w:val="24"/>
        </w:rPr>
        <w:t>學程以期望能讓學生在畢業後融合</w:t>
      </w:r>
      <w:r w:rsidR="00FE1684">
        <w:rPr>
          <w:rFonts w:ascii="標楷體" w:eastAsia="標楷體" w:hAnsi="標楷體" w:hint="eastAsia"/>
          <w:szCs w:val="24"/>
        </w:rPr>
        <w:t>流行音樂</w:t>
      </w:r>
      <w:r>
        <w:rPr>
          <w:rFonts w:ascii="標楷體" w:eastAsia="標楷體" w:hAnsi="標楷體" w:hint="eastAsia"/>
          <w:szCs w:val="24"/>
        </w:rPr>
        <w:t>之理論與實務技術之目標，</w:t>
      </w:r>
      <w:r w:rsidRPr="00C759AF">
        <w:rPr>
          <w:rFonts w:ascii="標楷體" w:eastAsia="標楷體" w:hAnsi="標楷體" w:hint="eastAsia"/>
          <w:szCs w:val="24"/>
        </w:rPr>
        <w:t>教導學生相關之</w:t>
      </w:r>
      <w:r w:rsidR="00FE1684">
        <w:rPr>
          <w:rFonts w:ascii="標楷體" w:eastAsia="標楷體" w:hAnsi="標楷體" w:hint="eastAsia"/>
          <w:szCs w:val="24"/>
        </w:rPr>
        <w:t>作詞作曲</w:t>
      </w:r>
      <w:r>
        <w:rPr>
          <w:rFonts w:ascii="標楷體" w:eastAsia="標楷體" w:hAnsi="標楷體" w:hint="eastAsia"/>
          <w:szCs w:val="24"/>
        </w:rPr>
        <w:t>基礎知識、</w:t>
      </w:r>
      <w:r w:rsidR="00FE1684">
        <w:rPr>
          <w:rFonts w:ascii="標楷體" w:eastAsia="標楷體" w:hAnsi="標楷體" w:hint="eastAsia"/>
          <w:szCs w:val="24"/>
        </w:rPr>
        <w:t>錄音專業技術、研究創新、團隊合作與職場倫理，以及流行音樂</w:t>
      </w:r>
      <w:r>
        <w:rPr>
          <w:rFonts w:ascii="標楷體" w:eastAsia="標楷體" w:hAnsi="標楷體" w:hint="eastAsia"/>
          <w:szCs w:val="24"/>
        </w:rPr>
        <w:t>事業之經營管理等相關知識</w:t>
      </w:r>
      <w:r w:rsidRPr="00C759AF">
        <w:rPr>
          <w:rFonts w:ascii="標楷體" w:eastAsia="標楷體" w:hAnsi="標楷體" w:hint="eastAsia"/>
          <w:szCs w:val="24"/>
        </w:rPr>
        <w:t>。為配合國家產業發展，市場需求及學校</w:t>
      </w:r>
      <w:r>
        <w:rPr>
          <w:rFonts w:ascii="標楷體" w:eastAsia="標楷體" w:hAnsi="標楷體" w:hint="eastAsia"/>
          <w:szCs w:val="24"/>
        </w:rPr>
        <w:t>中長程發展，因此特訂「</w:t>
      </w:r>
      <w:r w:rsidR="00A3175E" w:rsidRPr="00A3175E">
        <w:rPr>
          <w:rFonts w:ascii="標楷體" w:eastAsia="標楷體" w:hAnsi="標楷體" w:hint="eastAsia"/>
          <w:szCs w:val="24"/>
        </w:rPr>
        <w:t>流行音樂表演創作模組</w:t>
      </w:r>
      <w:r>
        <w:rPr>
          <w:rFonts w:ascii="標楷體" w:eastAsia="標楷體" w:hAnsi="標楷體" w:hint="eastAsia"/>
          <w:szCs w:val="24"/>
        </w:rPr>
        <w:t>」與「</w:t>
      </w:r>
      <w:r w:rsidR="00A3175E" w:rsidRPr="00A3175E">
        <w:rPr>
          <w:rFonts w:ascii="標楷體" w:eastAsia="標楷體" w:hAnsi="標楷體" w:hint="eastAsia"/>
          <w:szCs w:val="24"/>
        </w:rPr>
        <w:t>音樂行政管理模組</w:t>
      </w:r>
      <w:r>
        <w:rPr>
          <w:rFonts w:ascii="標楷體" w:eastAsia="標楷體" w:hAnsi="標楷體" w:hint="eastAsia"/>
          <w:szCs w:val="24"/>
        </w:rPr>
        <w:t>」兩套</w:t>
      </w:r>
      <w:r w:rsidRPr="00C759AF">
        <w:rPr>
          <w:rFonts w:ascii="標楷體" w:eastAsia="標楷體" w:hAnsi="標楷體" w:hint="eastAsia"/>
          <w:szCs w:val="24"/>
        </w:rPr>
        <w:t>課程設計：</w:t>
      </w:r>
    </w:p>
    <w:p w:rsidR="007B63E4" w:rsidRDefault="007B63E4" w:rsidP="004A2E5D">
      <w:pPr>
        <w:spacing w:beforeLines="50" w:before="180" w:afterLines="50" w:after="180"/>
        <w:rPr>
          <w:rFonts w:ascii="標楷體" w:eastAsia="標楷體" w:hAnsi="標楷體"/>
          <w:szCs w:val="24"/>
        </w:rPr>
      </w:pPr>
    </w:p>
    <w:p w:rsidR="007B63E4" w:rsidRPr="00C759AF" w:rsidRDefault="00A3175E" w:rsidP="005A2E36">
      <w:pPr>
        <w:spacing w:after="240"/>
        <w:ind w:left="2554" w:hangingChars="1063" w:hanging="2554"/>
        <w:rPr>
          <w:rFonts w:ascii="標楷體" w:eastAsia="標楷體" w:hAnsi="標楷體"/>
          <w:szCs w:val="24"/>
        </w:rPr>
      </w:pPr>
      <w:r w:rsidRPr="00A3175E">
        <w:rPr>
          <w:rFonts w:ascii="標楷體" w:eastAsia="標楷體" w:hAnsi="標楷體" w:hint="eastAsia"/>
          <w:b/>
          <w:color w:val="FF0000"/>
          <w:szCs w:val="24"/>
        </w:rPr>
        <w:t>流行音樂表演創作模組</w:t>
      </w:r>
      <w:r w:rsidR="007B63E4" w:rsidRPr="00C759AF">
        <w:rPr>
          <w:rFonts w:ascii="標楷體" w:eastAsia="標楷體" w:hAnsi="標楷體" w:hint="eastAsia"/>
          <w:b/>
          <w:szCs w:val="24"/>
        </w:rPr>
        <w:t>：</w:t>
      </w:r>
      <w:r w:rsidR="007B63E4">
        <w:rPr>
          <w:rFonts w:ascii="標楷體" w:eastAsia="標楷體" w:hAnsi="標楷體" w:hint="eastAsia"/>
          <w:b/>
          <w:szCs w:val="24"/>
        </w:rPr>
        <w:t>肢體</w:t>
      </w:r>
      <w:r w:rsidR="00ED5C0E">
        <w:rPr>
          <w:rFonts w:ascii="標楷體" w:eastAsia="標楷體" w:hAnsi="標楷體" w:hint="eastAsia"/>
          <w:b/>
          <w:szCs w:val="24"/>
        </w:rPr>
        <w:t>語言藝術</w:t>
      </w:r>
      <w:r w:rsidR="007B63E4">
        <w:rPr>
          <w:rFonts w:ascii="標楷體" w:eastAsia="標楷體" w:hAnsi="標楷體" w:hint="eastAsia"/>
          <w:b/>
          <w:szCs w:val="24"/>
        </w:rPr>
        <w:t>、</w:t>
      </w:r>
      <w:r w:rsidR="00ED5C0E">
        <w:rPr>
          <w:rFonts w:ascii="標楷體" w:eastAsia="標楷體" w:hAnsi="標楷體" w:hint="eastAsia"/>
          <w:b/>
          <w:szCs w:val="24"/>
        </w:rPr>
        <w:t>發聲演唱基礎、即興創作、音樂編輯軟體運用、作曲創作基礎、作詞創作基礎、錄音室歌唱技巧、流行音樂演唱實務、</w:t>
      </w:r>
      <w:r w:rsidR="00F913F9">
        <w:rPr>
          <w:rFonts w:ascii="標楷體" w:eastAsia="標楷體" w:hAnsi="標楷體" w:hint="eastAsia"/>
          <w:b/>
          <w:szCs w:val="24"/>
        </w:rPr>
        <w:t>音樂專輯製作技巧、</w:t>
      </w:r>
      <w:r w:rsidR="00ED5C0E">
        <w:rPr>
          <w:rFonts w:ascii="標楷體" w:eastAsia="標楷體" w:hAnsi="標楷體" w:hint="eastAsia"/>
          <w:b/>
          <w:szCs w:val="24"/>
        </w:rPr>
        <w:t>影像與音樂編輯、樂團演奏與錄音、</w:t>
      </w:r>
      <w:r w:rsidR="007B63E4">
        <w:rPr>
          <w:rFonts w:ascii="標楷體" w:eastAsia="標楷體" w:hAnsi="標楷體" w:hint="eastAsia"/>
          <w:b/>
          <w:szCs w:val="24"/>
        </w:rPr>
        <w:t>校外實務實習、就業接軌</w:t>
      </w:r>
      <w:r w:rsidR="00ED5C0E">
        <w:rPr>
          <w:rFonts w:ascii="標楷體" w:eastAsia="標楷體" w:hAnsi="標楷體" w:hint="eastAsia"/>
          <w:b/>
          <w:szCs w:val="24"/>
        </w:rPr>
        <w:t>、產業接軌等</w:t>
      </w:r>
    </w:p>
    <w:p w:rsidR="007B63E4" w:rsidRPr="00C759AF" w:rsidRDefault="00A3175E" w:rsidP="005A2E36">
      <w:pPr>
        <w:spacing w:after="240"/>
        <w:ind w:left="2128" w:hangingChars="886" w:hanging="2128"/>
        <w:rPr>
          <w:rFonts w:ascii="標楷體" w:eastAsia="標楷體" w:hAnsi="標楷體"/>
          <w:szCs w:val="24"/>
        </w:rPr>
      </w:pPr>
      <w:r w:rsidRPr="00A3175E">
        <w:rPr>
          <w:rFonts w:ascii="標楷體" w:eastAsia="標楷體" w:hAnsi="標楷體" w:hint="eastAsia"/>
          <w:b/>
          <w:color w:val="FF0000"/>
          <w:szCs w:val="24"/>
        </w:rPr>
        <w:t>音樂行政管理模組</w:t>
      </w:r>
      <w:r w:rsidR="007B63E4" w:rsidRPr="00C759AF">
        <w:rPr>
          <w:rFonts w:ascii="標楷體" w:eastAsia="標楷體" w:hAnsi="標楷體" w:hint="eastAsia"/>
          <w:b/>
          <w:szCs w:val="24"/>
        </w:rPr>
        <w:t>：</w:t>
      </w:r>
      <w:r w:rsidR="007B63E4">
        <w:rPr>
          <w:rFonts w:ascii="標楷體" w:eastAsia="標楷體" w:hAnsi="標楷體" w:hint="eastAsia"/>
          <w:b/>
          <w:szCs w:val="24"/>
        </w:rPr>
        <w:t>管理學、</w:t>
      </w:r>
      <w:r w:rsidR="00537BCB">
        <w:rPr>
          <w:rFonts w:ascii="標楷體" w:eastAsia="標楷體" w:hAnsi="標楷體" w:hint="eastAsia"/>
          <w:b/>
          <w:szCs w:val="24"/>
        </w:rPr>
        <w:t>流行音樂文化、</w:t>
      </w:r>
      <w:r w:rsidR="005A2E36">
        <w:rPr>
          <w:rFonts w:ascii="標楷體" w:eastAsia="標楷體" w:hAnsi="標楷體" w:hint="eastAsia"/>
          <w:b/>
          <w:szCs w:val="24"/>
        </w:rPr>
        <w:t>企</w:t>
      </w:r>
      <w:r w:rsidR="007B63E4">
        <w:rPr>
          <w:rFonts w:ascii="標楷體" w:eastAsia="標楷體" w:hAnsi="標楷體" w:hint="eastAsia"/>
          <w:b/>
          <w:szCs w:val="24"/>
        </w:rPr>
        <w:t>劃提案與簡報、</w:t>
      </w:r>
      <w:r w:rsidR="00ED5C0E">
        <w:rPr>
          <w:rFonts w:ascii="標楷體" w:eastAsia="標楷體" w:hAnsi="標楷體" w:hint="eastAsia"/>
          <w:b/>
          <w:szCs w:val="24"/>
        </w:rPr>
        <w:t>媒體與傳播、</w:t>
      </w:r>
      <w:r w:rsidR="007B63E4">
        <w:rPr>
          <w:rFonts w:ascii="標楷體" w:eastAsia="標楷體" w:hAnsi="標楷體" w:hint="eastAsia"/>
          <w:b/>
          <w:szCs w:val="24"/>
        </w:rPr>
        <w:t>文化創意</w:t>
      </w:r>
      <w:r w:rsidR="00ED5C0E">
        <w:rPr>
          <w:rFonts w:ascii="標楷體" w:eastAsia="標楷體" w:hAnsi="標楷體" w:hint="eastAsia"/>
          <w:b/>
          <w:szCs w:val="24"/>
        </w:rPr>
        <w:t>產業行銷、音樂著作版權、</w:t>
      </w:r>
      <w:r w:rsidR="00F913F9">
        <w:rPr>
          <w:rFonts w:ascii="標楷體" w:eastAsia="標楷體" w:hAnsi="標楷體" w:hint="eastAsia"/>
          <w:b/>
          <w:szCs w:val="24"/>
        </w:rPr>
        <w:t>藝人經紀產品開發</w:t>
      </w:r>
      <w:r w:rsidR="00ED5C0E">
        <w:rPr>
          <w:rFonts w:ascii="標楷體" w:eastAsia="標楷體" w:hAnsi="標楷體" w:hint="eastAsia"/>
          <w:b/>
          <w:szCs w:val="24"/>
        </w:rPr>
        <w:t>、</w:t>
      </w:r>
      <w:r w:rsidR="005A2E36">
        <w:rPr>
          <w:rFonts w:ascii="標楷體" w:eastAsia="標楷體" w:hAnsi="標楷體" w:hint="eastAsia"/>
          <w:b/>
          <w:szCs w:val="24"/>
        </w:rPr>
        <w:t>校</w:t>
      </w:r>
      <w:r w:rsidR="007B63E4">
        <w:rPr>
          <w:rFonts w:ascii="標楷體" w:eastAsia="標楷體" w:hAnsi="標楷體" w:hint="eastAsia"/>
          <w:b/>
          <w:szCs w:val="24"/>
        </w:rPr>
        <w:t>外實務實習、就業接軌</w:t>
      </w:r>
      <w:r w:rsidR="00ED5C0E">
        <w:rPr>
          <w:rFonts w:ascii="標楷體" w:eastAsia="標楷體" w:hAnsi="標楷體" w:hint="eastAsia"/>
          <w:b/>
          <w:szCs w:val="24"/>
        </w:rPr>
        <w:t>、產業接軌等</w:t>
      </w:r>
      <w:r w:rsidR="007B63E4" w:rsidRPr="00C759AF">
        <w:rPr>
          <w:rFonts w:ascii="標楷體" w:eastAsia="標楷體" w:hAnsi="標楷體"/>
          <w:szCs w:val="24"/>
        </w:rPr>
        <w:t xml:space="preserve"> </w:t>
      </w:r>
    </w:p>
    <w:p w:rsidR="007B63E4" w:rsidRPr="00200F47" w:rsidRDefault="007B63E4" w:rsidP="00200F47">
      <w:pPr>
        <w:spacing w:beforeLines="50" w:before="180" w:afterLines="50" w:after="180"/>
        <w:jc w:val="both"/>
        <w:rPr>
          <w:rFonts w:ascii="標楷體" w:eastAsia="標楷體" w:hAnsi="標楷體"/>
          <w:b/>
          <w:szCs w:val="24"/>
        </w:rPr>
      </w:pPr>
      <w:r w:rsidRPr="00200F47">
        <w:rPr>
          <w:rFonts w:ascii="標楷體" w:eastAsia="標楷體" w:hAnsi="標楷體"/>
          <w:b/>
          <w:szCs w:val="24"/>
        </w:rPr>
        <w:t>4.</w:t>
      </w:r>
      <w:r w:rsidRPr="00200F47">
        <w:rPr>
          <w:rFonts w:ascii="標楷體" w:eastAsia="標楷體" w:hAnsi="標楷體" w:hint="eastAsia"/>
          <w:b/>
          <w:szCs w:val="24"/>
        </w:rPr>
        <w:t>實務導向課程發展重點：</w:t>
      </w:r>
    </w:p>
    <w:p w:rsidR="007B63E4" w:rsidRPr="00C759AF" w:rsidRDefault="00ED5C0E" w:rsidP="00200F47">
      <w:pPr>
        <w:spacing w:beforeLines="50" w:before="180" w:afterLines="50" w:after="180"/>
        <w:jc w:val="both"/>
        <w:rPr>
          <w:rFonts w:ascii="標楷體" w:eastAsia="標楷體" w:hAnsi="標楷體"/>
          <w:szCs w:val="24"/>
        </w:rPr>
      </w:pPr>
      <w:r>
        <w:rPr>
          <w:rFonts w:ascii="標楷體" w:eastAsia="標楷體" w:hAnsi="標楷體" w:hint="eastAsia"/>
          <w:szCs w:val="24"/>
        </w:rPr>
        <w:t xml:space="preserve">    </w:t>
      </w:r>
      <w:r w:rsidR="007B63E4" w:rsidRPr="00C759AF">
        <w:rPr>
          <w:rFonts w:ascii="標楷體" w:eastAsia="標楷體" w:hAnsi="標楷體" w:hint="eastAsia"/>
          <w:szCs w:val="24"/>
        </w:rPr>
        <w:t>本位課程發展重點，在教學上仍秉持技職教育實務之特色，增加學生前往業界實習參觀之機會，並禮聘業界具實務經驗之專家，開授本位課程，輔導學生</w:t>
      </w:r>
      <w:r w:rsidR="007B63E4">
        <w:rPr>
          <w:rFonts w:ascii="標楷體" w:eastAsia="標楷體" w:hAnsi="標楷體" w:hint="eastAsia"/>
          <w:szCs w:val="24"/>
        </w:rPr>
        <w:t>對外參加比賽、選秀、遴選</w:t>
      </w:r>
      <w:r w:rsidR="00200F47">
        <w:rPr>
          <w:rFonts w:ascii="標楷體" w:eastAsia="標楷體" w:hAnsi="標楷體" w:hint="eastAsia"/>
          <w:szCs w:val="24"/>
        </w:rPr>
        <w:t>、電視轉播等</w:t>
      </w:r>
      <w:r>
        <w:rPr>
          <w:rFonts w:ascii="標楷體" w:eastAsia="標楷體" w:hAnsi="標楷體" w:hint="eastAsia"/>
          <w:szCs w:val="24"/>
        </w:rPr>
        <w:t>流行音樂</w:t>
      </w:r>
      <w:r w:rsidR="007B63E4">
        <w:rPr>
          <w:rFonts w:ascii="標楷體" w:eastAsia="標楷體" w:hAnsi="標楷體" w:hint="eastAsia"/>
          <w:szCs w:val="24"/>
        </w:rPr>
        <w:t>實務之參與。</w:t>
      </w:r>
    </w:p>
    <w:p w:rsidR="007B63E4" w:rsidRPr="00200F47" w:rsidRDefault="007B63E4" w:rsidP="00200F47">
      <w:pPr>
        <w:spacing w:beforeLines="50" w:before="180" w:afterLines="50" w:after="180"/>
        <w:ind w:leftChars="-200" w:hangingChars="200" w:hanging="480"/>
        <w:jc w:val="both"/>
        <w:rPr>
          <w:rFonts w:ascii="標楷體" w:eastAsia="標楷體" w:hAnsi="標楷體"/>
          <w:b/>
          <w:szCs w:val="24"/>
        </w:rPr>
      </w:pPr>
      <w:r w:rsidRPr="00C759AF">
        <w:rPr>
          <w:rFonts w:ascii="標楷體" w:eastAsia="標楷體" w:hAnsi="標楷體"/>
          <w:szCs w:val="24"/>
        </w:rPr>
        <w:t xml:space="preserve">   </w:t>
      </w:r>
      <w:r w:rsidRPr="00200F47">
        <w:rPr>
          <w:rFonts w:ascii="標楷體" w:eastAsia="標楷體" w:hAnsi="標楷體"/>
          <w:b/>
          <w:szCs w:val="24"/>
        </w:rPr>
        <w:t xml:space="preserve"> 5.</w:t>
      </w:r>
      <w:r w:rsidRPr="00200F47">
        <w:rPr>
          <w:rFonts w:ascii="標楷體" w:eastAsia="標楷體" w:hAnsi="標楷體" w:hint="eastAsia"/>
          <w:b/>
          <w:szCs w:val="24"/>
        </w:rPr>
        <w:t>兼顧專業與通識能力需求：</w:t>
      </w:r>
    </w:p>
    <w:p w:rsidR="007B63E4" w:rsidRPr="00200F47" w:rsidRDefault="00200F47" w:rsidP="00200F47">
      <w:pPr>
        <w:spacing w:beforeLines="50" w:before="180" w:afterLines="50" w:after="180"/>
        <w:jc w:val="both"/>
        <w:rPr>
          <w:rFonts w:ascii="標楷體" w:eastAsia="標楷體" w:hAnsi="標楷體"/>
          <w:b/>
          <w:szCs w:val="24"/>
        </w:rPr>
      </w:pPr>
      <w:r>
        <w:rPr>
          <w:rFonts w:ascii="標楷體" w:eastAsia="標楷體" w:hAnsi="標楷體" w:hint="eastAsia"/>
          <w:szCs w:val="24"/>
        </w:rPr>
        <w:t xml:space="preserve">    </w:t>
      </w:r>
      <w:r w:rsidR="007B63E4" w:rsidRPr="00C759AF">
        <w:rPr>
          <w:rFonts w:ascii="標楷體" w:eastAsia="標楷體" w:hAnsi="標楷體" w:hint="eastAsia"/>
          <w:szCs w:val="24"/>
        </w:rPr>
        <w:t>本</w:t>
      </w:r>
      <w:r>
        <w:rPr>
          <w:rFonts w:ascii="標楷體" w:eastAsia="標楷體" w:hAnsi="標楷體" w:hint="eastAsia"/>
          <w:szCs w:val="24"/>
        </w:rPr>
        <w:t>校的教育理念在落實</w:t>
      </w:r>
      <w:r w:rsidR="007B63E4" w:rsidRPr="00C759AF">
        <w:rPr>
          <w:rFonts w:ascii="標楷體" w:eastAsia="標楷體" w:hAnsi="標楷體" w:hint="eastAsia"/>
          <w:szCs w:val="24"/>
        </w:rPr>
        <w:t>「全人教育」，因此，在課程規劃方面為專業技術與人文素養並重，除了專業知識與技能的教育外，我們兼顧學生的通識教育，增廣學生通識方面的見聞及修身養性，待人接物之道，以強化學生之公民意識及品德</w:t>
      </w:r>
      <w:r w:rsidR="007B63E4" w:rsidRPr="00200F47">
        <w:rPr>
          <w:rFonts w:ascii="標楷體" w:eastAsia="標楷體" w:hAnsi="標楷體" w:hint="eastAsia"/>
          <w:szCs w:val="24"/>
        </w:rPr>
        <w:t>修養。</w:t>
      </w:r>
    </w:p>
    <w:p w:rsidR="007B63E4" w:rsidRPr="00200F47" w:rsidRDefault="007B63E4" w:rsidP="004A2E5D">
      <w:pPr>
        <w:spacing w:beforeLines="50" w:before="180" w:afterLines="50" w:after="180"/>
        <w:rPr>
          <w:rFonts w:ascii="標楷體" w:eastAsia="標楷體" w:hAnsi="標楷體"/>
          <w:b/>
          <w:szCs w:val="24"/>
        </w:rPr>
      </w:pPr>
      <w:r w:rsidRPr="00200F47">
        <w:rPr>
          <w:rFonts w:ascii="標楷體" w:eastAsia="標楷體" w:hAnsi="標楷體"/>
          <w:b/>
          <w:szCs w:val="24"/>
        </w:rPr>
        <w:t>6.</w:t>
      </w:r>
      <w:r w:rsidRPr="00200F47">
        <w:rPr>
          <w:rFonts w:ascii="標楷體" w:eastAsia="標楷體" w:hAnsi="標楷體" w:hint="eastAsia"/>
          <w:b/>
          <w:szCs w:val="24"/>
        </w:rPr>
        <w:t>符合學生能力需求：</w:t>
      </w:r>
    </w:p>
    <w:p w:rsidR="007B63E4" w:rsidRPr="00C759AF" w:rsidRDefault="00200F47" w:rsidP="00200F47">
      <w:pPr>
        <w:spacing w:beforeLines="50" w:before="180" w:afterLines="50" w:after="180"/>
        <w:rPr>
          <w:rFonts w:ascii="標楷體" w:eastAsia="標楷體" w:hAnsi="標楷體"/>
          <w:szCs w:val="24"/>
        </w:rPr>
      </w:pPr>
      <w:r>
        <w:rPr>
          <w:rFonts w:ascii="標楷體" w:eastAsia="標楷體" w:hAnsi="標楷體" w:hint="eastAsia"/>
          <w:szCs w:val="24"/>
        </w:rPr>
        <w:t xml:space="preserve">    </w:t>
      </w:r>
      <w:r w:rsidR="007B63E4" w:rsidRPr="00C759AF">
        <w:rPr>
          <w:rFonts w:ascii="標楷體" w:eastAsia="標楷體" w:hAnsi="標楷體" w:hint="eastAsia"/>
          <w:szCs w:val="24"/>
        </w:rPr>
        <w:t>因應學生能力，在課程設計與課程內容方面都以符合學生之能力與興趣做妥善之調整，讓學生在快快樂樂的學習氣氛下，吸收專業知識，同時培育出可以為</w:t>
      </w:r>
      <w:r w:rsidR="007B63E4" w:rsidRPr="00C759AF">
        <w:rPr>
          <w:rFonts w:ascii="標楷體" w:eastAsia="標楷體" w:hAnsi="標楷體" w:hint="eastAsia"/>
          <w:szCs w:val="24"/>
        </w:rPr>
        <w:lastRenderedPageBreak/>
        <w:t>業界接受，具備實務技術的學生。</w:t>
      </w:r>
    </w:p>
    <w:p w:rsidR="007B63E4" w:rsidRPr="00200F47" w:rsidRDefault="007B63E4" w:rsidP="003504D6">
      <w:pPr>
        <w:tabs>
          <w:tab w:val="left" w:pos="720"/>
        </w:tabs>
        <w:rPr>
          <w:rFonts w:ascii="標楷體" w:eastAsia="標楷體" w:hAnsi="標楷體"/>
          <w:b/>
          <w:szCs w:val="24"/>
        </w:rPr>
      </w:pPr>
      <w:r w:rsidRPr="00200F47">
        <w:rPr>
          <w:rFonts w:ascii="標楷體" w:eastAsia="標楷體" w:hAnsi="標楷體" w:hint="eastAsia"/>
          <w:b/>
          <w:szCs w:val="24"/>
        </w:rPr>
        <w:t>二、課程規劃結構</w:t>
      </w:r>
    </w:p>
    <w:p w:rsidR="007B63E4" w:rsidRDefault="007B63E4" w:rsidP="003504D6">
      <w:pPr>
        <w:tabs>
          <w:tab w:val="left" w:pos="720"/>
        </w:tabs>
        <w:rPr>
          <w:rFonts w:ascii="標楷體" w:eastAsia="標楷體" w:hAnsi="標楷體" w:hint="eastAsia"/>
          <w:szCs w:val="24"/>
        </w:rPr>
      </w:pPr>
      <w:r w:rsidRPr="00C759AF">
        <w:rPr>
          <w:rFonts w:ascii="標楷體" w:eastAsia="標楷體" w:hAnsi="標楷體"/>
          <w:szCs w:val="24"/>
        </w:rPr>
        <w:t xml:space="preserve">    </w:t>
      </w:r>
      <w:r w:rsidRPr="00C759AF">
        <w:rPr>
          <w:rFonts w:ascii="標楷體" w:eastAsia="標楷體" w:hAnsi="標楷體" w:hint="eastAsia"/>
          <w:szCs w:val="24"/>
        </w:rPr>
        <w:t>本系目前學生</w:t>
      </w:r>
      <w:r>
        <w:rPr>
          <w:rFonts w:ascii="標楷體" w:eastAsia="標楷體" w:hAnsi="標楷體" w:hint="eastAsia"/>
          <w:szCs w:val="24"/>
        </w:rPr>
        <w:t>為日</w:t>
      </w:r>
      <w:r w:rsidRPr="00C759AF">
        <w:rPr>
          <w:rFonts w:ascii="標楷體" w:eastAsia="標楷體" w:hAnsi="標楷體" w:hint="eastAsia"/>
          <w:szCs w:val="24"/>
        </w:rPr>
        <w:t>四技一般生</w:t>
      </w:r>
      <w:r>
        <w:rPr>
          <w:rFonts w:ascii="標楷體" w:eastAsia="標楷體" w:hAnsi="標楷體" w:hint="eastAsia"/>
          <w:szCs w:val="24"/>
        </w:rPr>
        <w:t>，</w:t>
      </w:r>
      <w:r w:rsidRPr="00C759AF">
        <w:rPr>
          <w:rFonts w:ascii="標楷體" w:eastAsia="標楷體" w:hAnsi="標楷體" w:hint="eastAsia"/>
          <w:szCs w:val="24"/>
        </w:rPr>
        <w:t>其課程結構如表</w:t>
      </w:r>
      <w:r w:rsidRPr="00C759AF">
        <w:rPr>
          <w:rFonts w:ascii="標楷體" w:eastAsia="標楷體" w:hAnsi="標楷體"/>
          <w:szCs w:val="24"/>
        </w:rPr>
        <w:t>1</w:t>
      </w:r>
      <w:r w:rsidRPr="00C759AF">
        <w:rPr>
          <w:rFonts w:ascii="標楷體" w:eastAsia="標楷體" w:hAnsi="標楷體" w:hint="eastAsia"/>
          <w:szCs w:val="24"/>
        </w:rPr>
        <w:t>所示：</w:t>
      </w:r>
    </w:p>
    <w:p w:rsidR="00200F47" w:rsidRPr="00C759AF" w:rsidRDefault="00200F47" w:rsidP="003504D6">
      <w:pPr>
        <w:tabs>
          <w:tab w:val="left" w:pos="720"/>
        </w:tabs>
        <w:rPr>
          <w:rFonts w:ascii="標楷體" w:eastAsia="標楷體" w:hAnsi="標楷體"/>
          <w:szCs w:val="24"/>
        </w:rPr>
      </w:pPr>
    </w:p>
    <w:p w:rsidR="007B63E4" w:rsidRPr="00C759AF" w:rsidRDefault="007B63E4" w:rsidP="003504D6">
      <w:pPr>
        <w:tabs>
          <w:tab w:val="left" w:pos="720"/>
        </w:tabs>
        <w:rPr>
          <w:rFonts w:ascii="標楷體" w:eastAsia="標楷體" w:hAnsi="標楷體"/>
          <w:b/>
          <w:szCs w:val="24"/>
        </w:rPr>
      </w:pPr>
      <w:r w:rsidRPr="00C759AF">
        <w:rPr>
          <w:rFonts w:ascii="標楷體" w:eastAsia="標楷體" w:hAnsi="標楷體"/>
          <w:szCs w:val="24"/>
        </w:rPr>
        <w:t xml:space="preserve">                   </w:t>
      </w:r>
      <w:r w:rsidRPr="00C759AF">
        <w:rPr>
          <w:rFonts w:ascii="標楷體" w:eastAsia="標楷體" w:hAnsi="標楷體" w:hint="eastAsia"/>
          <w:b/>
          <w:szCs w:val="24"/>
        </w:rPr>
        <w:t>表</w:t>
      </w:r>
      <w:r w:rsidRPr="00C759AF">
        <w:rPr>
          <w:rFonts w:ascii="標楷體" w:eastAsia="標楷體" w:hAnsi="標楷體"/>
          <w:b/>
          <w:szCs w:val="24"/>
        </w:rPr>
        <w:t>1</w:t>
      </w:r>
      <w:r w:rsidR="00200F47">
        <w:rPr>
          <w:rFonts w:ascii="標楷體" w:eastAsia="標楷體" w:hAnsi="標楷體" w:hint="eastAsia"/>
          <w:b/>
          <w:szCs w:val="24"/>
        </w:rPr>
        <w:t>流行音樂</w:t>
      </w:r>
      <w:r>
        <w:rPr>
          <w:rFonts w:ascii="標楷體" w:eastAsia="標楷體" w:hAnsi="標楷體" w:hint="eastAsia"/>
          <w:b/>
          <w:szCs w:val="24"/>
        </w:rPr>
        <w:t>事業學士學位學程</w:t>
      </w:r>
      <w:r w:rsidRPr="00C759AF">
        <w:rPr>
          <w:rFonts w:ascii="標楷體" w:eastAsia="標楷體" w:hAnsi="標楷體" w:hint="eastAsia"/>
          <w:b/>
          <w:szCs w:val="24"/>
        </w:rPr>
        <w:t>畢</w:t>
      </w:r>
      <w:r w:rsidRPr="00C759AF">
        <w:rPr>
          <w:rFonts w:ascii="標楷體" w:eastAsia="標楷體" w:hAnsi="標楷體" w:hint="eastAsia"/>
          <w:b/>
          <w:color w:val="000000"/>
          <w:szCs w:val="24"/>
        </w:rPr>
        <w:t>業最低學分</w:t>
      </w:r>
    </w:p>
    <w:tbl>
      <w:tblPr>
        <w:tblW w:w="79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51"/>
        <w:gridCol w:w="1994"/>
        <w:gridCol w:w="2665"/>
        <w:gridCol w:w="1757"/>
      </w:tblGrid>
      <w:tr w:rsidR="007B63E4" w:rsidRPr="00687AAB" w:rsidTr="00200F47">
        <w:trPr>
          <w:jc w:val="center"/>
        </w:trPr>
        <w:tc>
          <w:tcPr>
            <w:tcW w:w="1551" w:type="dxa"/>
            <w:tcBorders>
              <w:top w:val="single" w:sz="12" w:space="0" w:color="auto"/>
            </w:tcBorders>
            <w:shd w:val="clear" w:color="auto" w:fill="B3B3B3"/>
            <w:vAlign w:val="center"/>
          </w:tcPr>
          <w:p w:rsidR="007B63E4" w:rsidRPr="00200F47" w:rsidRDefault="007B63E4" w:rsidP="003504D6">
            <w:pPr>
              <w:jc w:val="center"/>
              <w:rPr>
                <w:rFonts w:ascii="標楷體" w:eastAsia="標楷體" w:hAnsi="標楷體"/>
                <w:b/>
                <w:color w:val="000000"/>
                <w:sz w:val="28"/>
                <w:szCs w:val="24"/>
              </w:rPr>
            </w:pPr>
            <w:r w:rsidRPr="00200F47">
              <w:rPr>
                <w:rFonts w:ascii="標楷體" w:eastAsia="標楷體" w:hAnsi="標楷體" w:hint="eastAsia"/>
                <w:b/>
                <w:color w:val="000000"/>
                <w:sz w:val="28"/>
                <w:szCs w:val="24"/>
              </w:rPr>
              <w:t>學</w:t>
            </w:r>
            <w:r w:rsidRPr="00200F47">
              <w:rPr>
                <w:rFonts w:ascii="標楷體" w:eastAsia="標楷體" w:hAnsi="標楷體"/>
                <w:b/>
                <w:color w:val="000000"/>
                <w:sz w:val="28"/>
                <w:szCs w:val="24"/>
              </w:rPr>
              <w:t xml:space="preserve">  </w:t>
            </w:r>
            <w:r w:rsidRPr="00200F47">
              <w:rPr>
                <w:rFonts w:ascii="標楷體" w:eastAsia="標楷體" w:hAnsi="標楷體" w:hint="eastAsia"/>
                <w:b/>
                <w:color w:val="000000"/>
                <w:sz w:val="28"/>
                <w:szCs w:val="24"/>
              </w:rPr>
              <w:t>制</w:t>
            </w:r>
          </w:p>
        </w:tc>
        <w:tc>
          <w:tcPr>
            <w:tcW w:w="1994" w:type="dxa"/>
            <w:tcBorders>
              <w:top w:val="single" w:sz="12" w:space="0" w:color="auto"/>
            </w:tcBorders>
            <w:shd w:val="clear" w:color="auto" w:fill="B3B3B3"/>
            <w:vAlign w:val="center"/>
          </w:tcPr>
          <w:p w:rsidR="007B63E4" w:rsidRPr="00200F47" w:rsidRDefault="007B63E4" w:rsidP="003504D6">
            <w:pPr>
              <w:jc w:val="center"/>
              <w:rPr>
                <w:rFonts w:ascii="標楷體" w:eastAsia="標楷體" w:hAnsi="標楷體"/>
                <w:b/>
                <w:color w:val="000000"/>
                <w:sz w:val="28"/>
                <w:szCs w:val="24"/>
              </w:rPr>
            </w:pPr>
            <w:r w:rsidRPr="00200F47">
              <w:rPr>
                <w:rFonts w:ascii="標楷體" w:eastAsia="標楷體" w:hAnsi="標楷體" w:hint="eastAsia"/>
                <w:b/>
                <w:color w:val="000000"/>
                <w:sz w:val="28"/>
                <w:szCs w:val="24"/>
              </w:rPr>
              <w:t>畢業最低學分</w:t>
            </w:r>
          </w:p>
        </w:tc>
        <w:tc>
          <w:tcPr>
            <w:tcW w:w="2665" w:type="dxa"/>
            <w:tcBorders>
              <w:top w:val="single" w:sz="12" w:space="0" w:color="auto"/>
            </w:tcBorders>
            <w:shd w:val="clear" w:color="auto" w:fill="B3B3B3"/>
            <w:vAlign w:val="center"/>
          </w:tcPr>
          <w:p w:rsidR="007B63E4" w:rsidRPr="00200F47" w:rsidRDefault="007B63E4" w:rsidP="003504D6">
            <w:pPr>
              <w:jc w:val="center"/>
              <w:rPr>
                <w:rFonts w:ascii="標楷體" w:eastAsia="標楷體" w:hAnsi="標楷體"/>
                <w:b/>
                <w:color w:val="000000"/>
                <w:sz w:val="28"/>
                <w:szCs w:val="24"/>
              </w:rPr>
            </w:pPr>
            <w:r w:rsidRPr="00200F47">
              <w:rPr>
                <w:rFonts w:ascii="標楷體" w:eastAsia="標楷體" w:hAnsi="標楷體" w:hint="eastAsia"/>
                <w:b/>
                <w:color w:val="000000"/>
                <w:sz w:val="28"/>
                <w:szCs w:val="24"/>
              </w:rPr>
              <w:t>種</w:t>
            </w:r>
            <w:r w:rsidRPr="00200F47">
              <w:rPr>
                <w:rFonts w:ascii="標楷體" w:eastAsia="標楷體" w:hAnsi="標楷體"/>
                <w:b/>
                <w:color w:val="000000"/>
                <w:sz w:val="28"/>
                <w:szCs w:val="24"/>
              </w:rPr>
              <w:t xml:space="preserve"> </w:t>
            </w:r>
            <w:r w:rsidRPr="00200F47">
              <w:rPr>
                <w:rFonts w:ascii="標楷體" w:eastAsia="標楷體" w:hAnsi="標楷體" w:hint="eastAsia"/>
                <w:b/>
                <w:color w:val="000000"/>
                <w:sz w:val="28"/>
                <w:szCs w:val="24"/>
              </w:rPr>
              <w:t>類</w:t>
            </w:r>
          </w:p>
        </w:tc>
        <w:tc>
          <w:tcPr>
            <w:tcW w:w="1757" w:type="dxa"/>
            <w:tcBorders>
              <w:top w:val="single" w:sz="12" w:space="0" w:color="auto"/>
            </w:tcBorders>
            <w:shd w:val="clear" w:color="auto" w:fill="B3B3B3"/>
            <w:vAlign w:val="center"/>
          </w:tcPr>
          <w:p w:rsidR="007B63E4" w:rsidRPr="00200F47" w:rsidRDefault="007B63E4" w:rsidP="003504D6">
            <w:pPr>
              <w:jc w:val="center"/>
              <w:rPr>
                <w:rFonts w:ascii="標楷體" w:eastAsia="標楷體" w:hAnsi="標楷體"/>
                <w:b/>
                <w:color w:val="000000"/>
                <w:sz w:val="28"/>
                <w:szCs w:val="24"/>
              </w:rPr>
            </w:pPr>
            <w:r w:rsidRPr="00200F47">
              <w:rPr>
                <w:rFonts w:ascii="標楷體" w:eastAsia="標楷體" w:hAnsi="標楷體" w:hint="eastAsia"/>
                <w:b/>
                <w:color w:val="000000"/>
                <w:sz w:val="28"/>
                <w:szCs w:val="24"/>
              </w:rPr>
              <w:t>學分數</w:t>
            </w:r>
          </w:p>
        </w:tc>
      </w:tr>
      <w:tr w:rsidR="007B63E4" w:rsidRPr="00687AAB" w:rsidTr="00200F47">
        <w:trPr>
          <w:jc w:val="center"/>
        </w:trPr>
        <w:tc>
          <w:tcPr>
            <w:tcW w:w="1551" w:type="dxa"/>
            <w:vMerge w:val="restart"/>
            <w:shd w:val="clear" w:color="auto" w:fill="C0C0C0"/>
            <w:vAlign w:val="center"/>
          </w:tcPr>
          <w:p w:rsidR="007B63E4" w:rsidRPr="00200F47" w:rsidRDefault="007B63E4" w:rsidP="003504D6">
            <w:pPr>
              <w:jc w:val="center"/>
              <w:rPr>
                <w:rFonts w:ascii="標楷體" w:eastAsia="標楷體" w:hAnsi="標楷體"/>
                <w:color w:val="000000"/>
                <w:sz w:val="28"/>
                <w:szCs w:val="24"/>
              </w:rPr>
            </w:pPr>
            <w:r w:rsidRPr="00200F47">
              <w:rPr>
                <w:rFonts w:ascii="標楷體" w:eastAsia="標楷體" w:hAnsi="標楷體" w:hint="eastAsia"/>
                <w:color w:val="000000"/>
                <w:sz w:val="28"/>
                <w:szCs w:val="24"/>
              </w:rPr>
              <w:t>日四技</w:t>
            </w:r>
          </w:p>
        </w:tc>
        <w:tc>
          <w:tcPr>
            <w:tcW w:w="1994" w:type="dxa"/>
            <w:vMerge w:val="restart"/>
            <w:vAlign w:val="center"/>
          </w:tcPr>
          <w:p w:rsidR="007B63E4" w:rsidRPr="00200F47" w:rsidRDefault="007B63E4" w:rsidP="003504D6">
            <w:pPr>
              <w:jc w:val="center"/>
              <w:rPr>
                <w:rFonts w:ascii="標楷體" w:eastAsia="標楷體" w:hAnsi="標楷體"/>
                <w:color w:val="000000"/>
                <w:sz w:val="28"/>
                <w:szCs w:val="24"/>
              </w:rPr>
            </w:pPr>
            <w:r w:rsidRPr="00200F47">
              <w:rPr>
                <w:rFonts w:ascii="標楷體" w:eastAsia="標楷體" w:hAnsi="標楷體"/>
                <w:color w:val="000000"/>
                <w:sz w:val="28"/>
                <w:szCs w:val="24"/>
              </w:rPr>
              <w:t>128</w:t>
            </w:r>
          </w:p>
        </w:tc>
        <w:tc>
          <w:tcPr>
            <w:tcW w:w="2665" w:type="dxa"/>
            <w:vAlign w:val="center"/>
          </w:tcPr>
          <w:p w:rsidR="00200F47" w:rsidRDefault="007B63E4" w:rsidP="00200F47">
            <w:pPr>
              <w:adjustRightInd w:val="0"/>
              <w:snapToGrid w:val="0"/>
              <w:jc w:val="center"/>
              <w:rPr>
                <w:rFonts w:ascii="標楷體" w:eastAsia="標楷體" w:hAnsi="標楷體" w:hint="eastAsia"/>
                <w:color w:val="000000"/>
                <w:sz w:val="28"/>
                <w:szCs w:val="24"/>
              </w:rPr>
            </w:pPr>
            <w:r w:rsidRPr="00200F47">
              <w:rPr>
                <w:rFonts w:ascii="標楷體" w:eastAsia="標楷體" w:hAnsi="標楷體" w:hint="eastAsia"/>
                <w:color w:val="000000"/>
                <w:sz w:val="28"/>
                <w:szCs w:val="24"/>
              </w:rPr>
              <w:t>基礎</w:t>
            </w:r>
            <w:r w:rsidRPr="00200F47">
              <w:rPr>
                <w:rFonts w:ascii="標楷體" w:eastAsia="標楷體" w:hAnsi="標楷體"/>
                <w:color w:val="000000"/>
                <w:sz w:val="28"/>
                <w:szCs w:val="24"/>
              </w:rPr>
              <w:t>(</w:t>
            </w:r>
            <w:proofErr w:type="gramStart"/>
            <w:r w:rsidRPr="00200F47">
              <w:rPr>
                <w:rFonts w:ascii="標楷體" w:eastAsia="標楷體" w:hAnsi="標楷體" w:hint="eastAsia"/>
                <w:color w:val="000000"/>
                <w:sz w:val="28"/>
                <w:szCs w:val="24"/>
              </w:rPr>
              <w:t>職用</w:t>
            </w:r>
            <w:proofErr w:type="gramEnd"/>
            <w:r w:rsidRPr="00200F47">
              <w:rPr>
                <w:rFonts w:ascii="標楷體" w:eastAsia="標楷體" w:hAnsi="標楷體"/>
                <w:color w:val="000000"/>
                <w:sz w:val="28"/>
                <w:szCs w:val="24"/>
              </w:rPr>
              <w:t>)</w:t>
            </w:r>
          </w:p>
          <w:p w:rsidR="007B63E4" w:rsidRPr="00200F47" w:rsidRDefault="007B63E4" w:rsidP="00200F47">
            <w:pPr>
              <w:adjustRightInd w:val="0"/>
              <w:snapToGrid w:val="0"/>
              <w:jc w:val="center"/>
              <w:rPr>
                <w:rFonts w:ascii="標楷體" w:eastAsia="標楷體" w:hAnsi="標楷體"/>
                <w:color w:val="000000"/>
                <w:sz w:val="28"/>
                <w:szCs w:val="24"/>
              </w:rPr>
            </w:pPr>
            <w:r w:rsidRPr="00200F47">
              <w:rPr>
                <w:rFonts w:ascii="標楷體" w:eastAsia="標楷體" w:hAnsi="標楷體" w:hint="eastAsia"/>
                <w:color w:val="000000"/>
                <w:sz w:val="28"/>
                <w:szCs w:val="24"/>
              </w:rPr>
              <w:t>通識必修</w:t>
            </w:r>
          </w:p>
        </w:tc>
        <w:tc>
          <w:tcPr>
            <w:tcW w:w="1757" w:type="dxa"/>
            <w:vAlign w:val="center"/>
          </w:tcPr>
          <w:p w:rsidR="007B63E4" w:rsidRPr="00200F47" w:rsidRDefault="007B63E4" w:rsidP="003504D6">
            <w:pPr>
              <w:jc w:val="center"/>
              <w:rPr>
                <w:rFonts w:ascii="標楷體" w:eastAsia="標楷體" w:hAnsi="標楷體"/>
                <w:color w:val="000000"/>
                <w:sz w:val="28"/>
                <w:szCs w:val="24"/>
              </w:rPr>
            </w:pPr>
            <w:r w:rsidRPr="00200F47">
              <w:rPr>
                <w:rFonts w:ascii="標楷體" w:eastAsia="標楷體" w:hAnsi="標楷體"/>
                <w:color w:val="000000"/>
                <w:sz w:val="28"/>
                <w:szCs w:val="24"/>
              </w:rPr>
              <w:t>22</w:t>
            </w:r>
          </w:p>
        </w:tc>
      </w:tr>
      <w:tr w:rsidR="007B63E4" w:rsidRPr="00687AAB" w:rsidTr="00200F47">
        <w:trPr>
          <w:jc w:val="center"/>
        </w:trPr>
        <w:tc>
          <w:tcPr>
            <w:tcW w:w="1551" w:type="dxa"/>
            <w:vMerge/>
            <w:shd w:val="clear" w:color="auto" w:fill="C0C0C0"/>
            <w:vAlign w:val="center"/>
          </w:tcPr>
          <w:p w:rsidR="007B63E4" w:rsidRPr="00200F47" w:rsidRDefault="007B63E4" w:rsidP="003504D6">
            <w:pPr>
              <w:jc w:val="center"/>
              <w:rPr>
                <w:rFonts w:ascii="標楷體" w:eastAsia="標楷體" w:hAnsi="標楷體"/>
                <w:color w:val="000000"/>
                <w:sz w:val="28"/>
                <w:szCs w:val="24"/>
              </w:rPr>
            </w:pPr>
          </w:p>
        </w:tc>
        <w:tc>
          <w:tcPr>
            <w:tcW w:w="1994" w:type="dxa"/>
            <w:vMerge/>
            <w:vAlign w:val="center"/>
          </w:tcPr>
          <w:p w:rsidR="007B63E4" w:rsidRPr="00200F47" w:rsidRDefault="007B63E4" w:rsidP="003504D6">
            <w:pPr>
              <w:jc w:val="center"/>
              <w:rPr>
                <w:rFonts w:ascii="標楷體" w:eastAsia="標楷體" w:hAnsi="標楷體"/>
                <w:color w:val="000000"/>
                <w:sz w:val="28"/>
                <w:szCs w:val="24"/>
              </w:rPr>
            </w:pPr>
          </w:p>
        </w:tc>
        <w:tc>
          <w:tcPr>
            <w:tcW w:w="2665" w:type="dxa"/>
            <w:vAlign w:val="center"/>
          </w:tcPr>
          <w:p w:rsidR="007B63E4" w:rsidRPr="00200F47" w:rsidRDefault="007B63E4" w:rsidP="00200F47">
            <w:pPr>
              <w:adjustRightInd w:val="0"/>
              <w:snapToGrid w:val="0"/>
              <w:jc w:val="center"/>
              <w:rPr>
                <w:rFonts w:ascii="標楷體" w:eastAsia="標楷體" w:hAnsi="標楷體"/>
                <w:color w:val="000000"/>
                <w:sz w:val="28"/>
                <w:szCs w:val="24"/>
              </w:rPr>
            </w:pPr>
            <w:r w:rsidRPr="00200F47">
              <w:rPr>
                <w:rFonts w:ascii="標楷體" w:eastAsia="標楷體" w:hAnsi="標楷體" w:hint="eastAsia"/>
                <w:color w:val="000000"/>
                <w:sz w:val="28"/>
                <w:szCs w:val="24"/>
              </w:rPr>
              <w:t>多元通識</w:t>
            </w:r>
            <w:r w:rsidRPr="00200F47">
              <w:rPr>
                <w:rFonts w:ascii="標楷體" w:eastAsia="標楷體" w:hAnsi="標楷體"/>
                <w:color w:val="000000"/>
                <w:sz w:val="28"/>
                <w:szCs w:val="24"/>
              </w:rPr>
              <w:t>(</w:t>
            </w:r>
            <w:r w:rsidRPr="00200F47">
              <w:rPr>
                <w:rFonts w:ascii="標楷體" w:eastAsia="標楷體" w:hAnsi="標楷體" w:hint="eastAsia"/>
                <w:color w:val="000000"/>
                <w:sz w:val="28"/>
                <w:szCs w:val="24"/>
              </w:rPr>
              <w:t>至少</w:t>
            </w:r>
            <w:r w:rsidRPr="00200F47">
              <w:rPr>
                <w:rFonts w:ascii="標楷體" w:eastAsia="標楷體" w:hAnsi="標楷體"/>
                <w:color w:val="000000"/>
                <w:sz w:val="28"/>
                <w:szCs w:val="24"/>
              </w:rPr>
              <w:t>)</w:t>
            </w:r>
          </w:p>
        </w:tc>
        <w:tc>
          <w:tcPr>
            <w:tcW w:w="1757" w:type="dxa"/>
            <w:vAlign w:val="center"/>
          </w:tcPr>
          <w:p w:rsidR="007B63E4" w:rsidRPr="00200F47" w:rsidRDefault="007B63E4" w:rsidP="003504D6">
            <w:pPr>
              <w:jc w:val="center"/>
              <w:rPr>
                <w:rFonts w:ascii="標楷體" w:eastAsia="標楷體" w:hAnsi="標楷體"/>
                <w:color w:val="000000"/>
                <w:sz w:val="28"/>
                <w:szCs w:val="24"/>
              </w:rPr>
            </w:pPr>
            <w:r w:rsidRPr="00200F47">
              <w:rPr>
                <w:rFonts w:ascii="標楷體" w:eastAsia="標楷體" w:hAnsi="標楷體"/>
                <w:color w:val="000000"/>
                <w:sz w:val="28"/>
                <w:szCs w:val="24"/>
              </w:rPr>
              <w:t>6</w:t>
            </w:r>
          </w:p>
        </w:tc>
      </w:tr>
      <w:tr w:rsidR="007B63E4" w:rsidRPr="00687AAB" w:rsidTr="00200F47">
        <w:trPr>
          <w:jc w:val="center"/>
        </w:trPr>
        <w:tc>
          <w:tcPr>
            <w:tcW w:w="1551" w:type="dxa"/>
            <w:vMerge/>
            <w:shd w:val="clear" w:color="auto" w:fill="C0C0C0"/>
            <w:vAlign w:val="center"/>
          </w:tcPr>
          <w:p w:rsidR="007B63E4" w:rsidRPr="00200F47" w:rsidRDefault="007B63E4" w:rsidP="003504D6">
            <w:pPr>
              <w:jc w:val="center"/>
              <w:rPr>
                <w:rFonts w:ascii="標楷體" w:eastAsia="標楷體" w:hAnsi="標楷體"/>
                <w:color w:val="000000"/>
                <w:sz w:val="28"/>
                <w:szCs w:val="24"/>
              </w:rPr>
            </w:pPr>
          </w:p>
        </w:tc>
        <w:tc>
          <w:tcPr>
            <w:tcW w:w="1994" w:type="dxa"/>
            <w:vMerge/>
            <w:vAlign w:val="center"/>
          </w:tcPr>
          <w:p w:rsidR="007B63E4" w:rsidRPr="00200F47" w:rsidRDefault="007B63E4" w:rsidP="003504D6">
            <w:pPr>
              <w:jc w:val="center"/>
              <w:rPr>
                <w:rFonts w:ascii="標楷體" w:eastAsia="標楷體" w:hAnsi="標楷體"/>
                <w:color w:val="000000"/>
                <w:sz w:val="28"/>
                <w:szCs w:val="24"/>
              </w:rPr>
            </w:pPr>
          </w:p>
        </w:tc>
        <w:tc>
          <w:tcPr>
            <w:tcW w:w="2665" w:type="dxa"/>
            <w:vAlign w:val="center"/>
          </w:tcPr>
          <w:p w:rsidR="007B63E4" w:rsidRPr="00200F47" w:rsidRDefault="007B63E4" w:rsidP="00200F47">
            <w:pPr>
              <w:adjustRightInd w:val="0"/>
              <w:snapToGrid w:val="0"/>
              <w:jc w:val="center"/>
              <w:rPr>
                <w:rFonts w:ascii="標楷體" w:eastAsia="標楷體" w:hAnsi="標楷體"/>
                <w:color w:val="000000"/>
                <w:sz w:val="28"/>
                <w:szCs w:val="24"/>
              </w:rPr>
            </w:pPr>
            <w:r w:rsidRPr="00200F47">
              <w:rPr>
                <w:rFonts w:ascii="標楷體" w:eastAsia="標楷體" w:hAnsi="標楷體" w:hint="eastAsia"/>
                <w:color w:val="000000"/>
                <w:sz w:val="28"/>
                <w:szCs w:val="24"/>
              </w:rPr>
              <w:t>院定必修</w:t>
            </w:r>
          </w:p>
        </w:tc>
        <w:tc>
          <w:tcPr>
            <w:tcW w:w="1757" w:type="dxa"/>
            <w:vAlign w:val="center"/>
          </w:tcPr>
          <w:p w:rsidR="007B63E4" w:rsidRPr="00200F47" w:rsidRDefault="007B63E4" w:rsidP="003504D6">
            <w:pPr>
              <w:jc w:val="center"/>
              <w:rPr>
                <w:rFonts w:ascii="標楷體" w:eastAsia="標楷體" w:hAnsi="標楷體"/>
                <w:color w:val="000000"/>
                <w:sz w:val="28"/>
                <w:szCs w:val="24"/>
              </w:rPr>
            </w:pPr>
            <w:r w:rsidRPr="00200F47">
              <w:rPr>
                <w:rFonts w:ascii="標楷體" w:eastAsia="標楷體" w:hAnsi="標楷體"/>
                <w:color w:val="000000"/>
                <w:sz w:val="28"/>
                <w:szCs w:val="24"/>
              </w:rPr>
              <w:t>8</w:t>
            </w:r>
          </w:p>
        </w:tc>
      </w:tr>
      <w:tr w:rsidR="007B63E4" w:rsidRPr="00687AAB" w:rsidTr="00200F47">
        <w:trPr>
          <w:jc w:val="center"/>
        </w:trPr>
        <w:tc>
          <w:tcPr>
            <w:tcW w:w="1551" w:type="dxa"/>
            <w:vMerge/>
            <w:shd w:val="clear" w:color="auto" w:fill="C0C0C0"/>
            <w:vAlign w:val="center"/>
          </w:tcPr>
          <w:p w:rsidR="007B63E4" w:rsidRPr="00200F47" w:rsidRDefault="007B63E4" w:rsidP="003504D6">
            <w:pPr>
              <w:jc w:val="center"/>
              <w:rPr>
                <w:rFonts w:ascii="標楷體" w:eastAsia="標楷體" w:hAnsi="標楷體"/>
                <w:color w:val="000000"/>
                <w:sz w:val="28"/>
                <w:szCs w:val="24"/>
              </w:rPr>
            </w:pPr>
          </w:p>
        </w:tc>
        <w:tc>
          <w:tcPr>
            <w:tcW w:w="1994" w:type="dxa"/>
            <w:vMerge/>
            <w:vAlign w:val="center"/>
          </w:tcPr>
          <w:p w:rsidR="007B63E4" w:rsidRPr="00200F47" w:rsidRDefault="007B63E4" w:rsidP="003504D6">
            <w:pPr>
              <w:jc w:val="center"/>
              <w:rPr>
                <w:rFonts w:ascii="標楷體" w:eastAsia="標楷體" w:hAnsi="標楷體"/>
                <w:color w:val="000000"/>
                <w:sz w:val="28"/>
                <w:szCs w:val="24"/>
              </w:rPr>
            </w:pPr>
          </w:p>
        </w:tc>
        <w:tc>
          <w:tcPr>
            <w:tcW w:w="2665" w:type="dxa"/>
            <w:vAlign w:val="center"/>
          </w:tcPr>
          <w:p w:rsidR="007B63E4" w:rsidRPr="00200F47" w:rsidRDefault="007B63E4" w:rsidP="00200F47">
            <w:pPr>
              <w:adjustRightInd w:val="0"/>
              <w:snapToGrid w:val="0"/>
              <w:jc w:val="center"/>
              <w:rPr>
                <w:rFonts w:ascii="標楷體" w:eastAsia="標楷體" w:hAnsi="標楷體"/>
                <w:color w:val="000000"/>
                <w:sz w:val="28"/>
                <w:szCs w:val="24"/>
              </w:rPr>
            </w:pPr>
            <w:r w:rsidRPr="00200F47">
              <w:rPr>
                <w:rFonts w:ascii="標楷體" w:eastAsia="標楷體" w:hAnsi="標楷體" w:hint="eastAsia"/>
                <w:color w:val="000000"/>
                <w:sz w:val="28"/>
                <w:szCs w:val="24"/>
              </w:rPr>
              <w:t>專業必修</w:t>
            </w:r>
          </w:p>
        </w:tc>
        <w:tc>
          <w:tcPr>
            <w:tcW w:w="1757" w:type="dxa"/>
            <w:vAlign w:val="center"/>
          </w:tcPr>
          <w:p w:rsidR="007B63E4" w:rsidRPr="00200F47" w:rsidRDefault="007B63E4" w:rsidP="003504D6">
            <w:pPr>
              <w:jc w:val="center"/>
              <w:rPr>
                <w:rFonts w:ascii="標楷體" w:eastAsia="標楷體" w:hAnsi="標楷體"/>
                <w:color w:val="000000"/>
                <w:sz w:val="28"/>
                <w:szCs w:val="24"/>
              </w:rPr>
            </w:pPr>
            <w:r w:rsidRPr="00200F47">
              <w:rPr>
                <w:rFonts w:ascii="標楷體" w:eastAsia="標楷體" w:hAnsi="標楷體"/>
                <w:color w:val="000000"/>
                <w:sz w:val="28"/>
                <w:szCs w:val="24"/>
              </w:rPr>
              <w:t>64</w:t>
            </w:r>
          </w:p>
        </w:tc>
      </w:tr>
      <w:tr w:rsidR="007B63E4" w:rsidRPr="00687AAB" w:rsidTr="00200F47">
        <w:trPr>
          <w:jc w:val="center"/>
        </w:trPr>
        <w:tc>
          <w:tcPr>
            <w:tcW w:w="1551" w:type="dxa"/>
            <w:vMerge/>
            <w:shd w:val="clear" w:color="auto" w:fill="C0C0C0"/>
            <w:vAlign w:val="center"/>
          </w:tcPr>
          <w:p w:rsidR="007B63E4" w:rsidRPr="00200F47" w:rsidRDefault="007B63E4" w:rsidP="003504D6">
            <w:pPr>
              <w:jc w:val="center"/>
              <w:rPr>
                <w:rFonts w:ascii="標楷體" w:eastAsia="標楷體" w:hAnsi="標楷體"/>
                <w:color w:val="000000"/>
                <w:sz w:val="28"/>
                <w:szCs w:val="24"/>
              </w:rPr>
            </w:pPr>
          </w:p>
        </w:tc>
        <w:tc>
          <w:tcPr>
            <w:tcW w:w="1994" w:type="dxa"/>
            <w:vMerge/>
            <w:vAlign w:val="center"/>
          </w:tcPr>
          <w:p w:rsidR="007B63E4" w:rsidRPr="00200F47" w:rsidRDefault="007B63E4" w:rsidP="003504D6">
            <w:pPr>
              <w:jc w:val="center"/>
              <w:rPr>
                <w:rFonts w:ascii="標楷體" w:eastAsia="標楷體" w:hAnsi="標楷體"/>
                <w:color w:val="000000"/>
                <w:sz w:val="28"/>
                <w:szCs w:val="24"/>
              </w:rPr>
            </w:pPr>
          </w:p>
        </w:tc>
        <w:tc>
          <w:tcPr>
            <w:tcW w:w="2665" w:type="dxa"/>
            <w:vAlign w:val="center"/>
          </w:tcPr>
          <w:p w:rsidR="007B63E4" w:rsidRPr="00200F47" w:rsidRDefault="007B63E4" w:rsidP="00200F47">
            <w:pPr>
              <w:adjustRightInd w:val="0"/>
              <w:snapToGrid w:val="0"/>
              <w:jc w:val="center"/>
              <w:rPr>
                <w:rFonts w:ascii="標楷體" w:eastAsia="標楷體" w:hAnsi="標楷體"/>
                <w:color w:val="000000"/>
                <w:sz w:val="28"/>
                <w:szCs w:val="24"/>
              </w:rPr>
            </w:pPr>
            <w:r w:rsidRPr="00200F47">
              <w:rPr>
                <w:rFonts w:ascii="標楷體" w:eastAsia="標楷體" w:hAnsi="標楷體" w:hint="eastAsia"/>
                <w:color w:val="000000"/>
                <w:sz w:val="28"/>
                <w:szCs w:val="24"/>
              </w:rPr>
              <w:t>專業選修</w:t>
            </w:r>
            <w:r w:rsidRPr="00200F47">
              <w:rPr>
                <w:rFonts w:ascii="標楷體" w:eastAsia="標楷體" w:hAnsi="標楷體"/>
                <w:color w:val="000000"/>
                <w:sz w:val="28"/>
                <w:szCs w:val="24"/>
              </w:rPr>
              <w:t>(</w:t>
            </w:r>
            <w:r w:rsidRPr="00200F47">
              <w:rPr>
                <w:rFonts w:ascii="標楷體" w:eastAsia="標楷體" w:hAnsi="標楷體" w:hint="eastAsia"/>
                <w:color w:val="000000"/>
                <w:sz w:val="28"/>
                <w:szCs w:val="24"/>
              </w:rPr>
              <w:t>至少</w:t>
            </w:r>
            <w:r w:rsidRPr="00200F47">
              <w:rPr>
                <w:rFonts w:ascii="標楷體" w:eastAsia="標楷體" w:hAnsi="標楷體"/>
                <w:color w:val="000000"/>
                <w:sz w:val="28"/>
                <w:szCs w:val="24"/>
              </w:rPr>
              <w:t>)</w:t>
            </w:r>
          </w:p>
        </w:tc>
        <w:tc>
          <w:tcPr>
            <w:tcW w:w="1757" w:type="dxa"/>
            <w:vAlign w:val="center"/>
          </w:tcPr>
          <w:p w:rsidR="007B63E4" w:rsidRPr="00200F47" w:rsidRDefault="007B63E4" w:rsidP="003504D6">
            <w:pPr>
              <w:jc w:val="center"/>
              <w:rPr>
                <w:rFonts w:ascii="標楷體" w:eastAsia="標楷體" w:hAnsi="標楷體"/>
                <w:sz w:val="28"/>
                <w:szCs w:val="24"/>
              </w:rPr>
            </w:pPr>
            <w:r w:rsidRPr="00200F47">
              <w:rPr>
                <w:rFonts w:ascii="標楷體" w:eastAsia="標楷體" w:hAnsi="標楷體"/>
                <w:sz w:val="28"/>
                <w:szCs w:val="24"/>
              </w:rPr>
              <w:t>28</w:t>
            </w:r>
          </w:p>
        </w:tc>
      </w:tr>
    </w:tbl>
    <w:p w:rsidR="007B63E4" w:rsidRPr="00C759AF" w:rsidRDefault="007B63E4" w:rsidP="00992AD6"/>
    <w:sectPr w:rsidR="007B63E4" w:rsidRPr="00C759AF" w:rsidSect="00DD0D0D">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5A0" w:rsidRDefault="001575A0" w:rsidP="003D2B5C">
      <w:r>
        <w:separator/>
      </w:r>
    </w:p>
  </w:endnote>
  <w:endnote w:type="continuationSeparator" w:id="0">
    <w:p w:rsidR="001575A0" w:rsidRDefault="001575A0" w:rsidP="003D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E4" w:rsidRDefault="007B63E4">
    <w:pPr>
      <w:pStyle w:val="a7"/>
      <w:jc w:val="center"/>
    </w:pPr>
    <w:r>
      <w:fldChar w:fldCharType="begin"/>
    </w:r>
    <w:r>
      <w:instrText>PAGE   \* MERGEFORMAT</w:instrText>
    </w:r>
    <w:r>
      <w:fldChar w:fldCharType="separate"/>
    </w:r>
    <w:r w:rsidR="00AC10E0" w:rsidRPr="00AC10E0">
      <w:rPr>
        <w:noProof/>
        <w:lang w:val="zh-TW"/>
      </w:rPr>
      <w:t>3</w:t>
    </w:r>
    <w:r>
      <w:fldChar w:fldCharType="end"/>
    </w:r>
  </w:p>
  <w:p w:rsidR="007B63E4" w:rsidRDefault="007B63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5A0" w:rsidRDefault="001575A0" w:rsidP="003D2B5C">
      <w:r>
        <w:separator/>
      </w:r>
    </w:p>
  </w:footnote>
  <w:footnote w:type="continuationSeparator" w:id="0">
    <w:p w:rsidR="001575A0" w:rsidRDefault="001575A0" w:rsidP="003D2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A1D0F"/>
    <w:multiLevelType w:val="hybridMultilevel"/>
    <w:tmpl w:val="F1FCE33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bordersDoNotSurroundHeader/>
  <w:bordersDoNotSurroundFooter/>
  <w:proofState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37"/>
    <w:rsid w:val="00036963"/>
    <w:rsid w:val="000A1E45"/>
    <w:rsid w:val="000E4DE0"/>
    <w:rsid w:val="0010537A"/>
    <w:rsid w:val="001173BA"/>
    <w:rsid w:val="001575A0"/>
    <w:rsid w:val="001A7D59"/>
    <w:rsid w:val="001B40E4"/>
    <w:rsid w:val="001E36D8"/>
    <w:rsid w:val="00200F47"/>
    <w:rsid w:val="00230701"/>
    <w:rsid w:val="002C152E"/>
    <w:rsid w:val="00317984"/>
    <w:rsid w:val="0034758D"/>
    <w:rsid w:val="003504D6"/>
    <w:rsid w:val="00370023"/>
    <w:rsid w:val="003719E3"/>
    <w:rsid w:val="003814A5"/>
    <w:rsid w:val="003C47CB"/>
    <w:rsid w:val="003D2B5C"/>
    <w:rsid w:val="00450D44"/>
    <w:rsid w:val="00454B90"/>
    <w:rsid w:val="00457F9C"/>
    <w:rsid w:val="00464441"/>
    <w:rsid w:val="004A2E5D"/>
    <w:rsid w:val="004C1CC6"/>
    <w:rsid w:val="00511453"/>
    <w:rsid w:val="00522857"/>
    <w:rsid w:val="00535357"/>
    <w:rsid w:val="00537BCB"/>
    <w:rsid w:val="00554421"/>
    <w:rsid w:val="005A18FB"/>
    <w:rsid w:val="005A2E36"/>
    <w:rsid w:val="00621E8A"/>
    <w:rsid w:val="00687AAB"/>
    <w:rsid w:val="00697076"/>
    <w:rsid w:val="006A279B"/>
    <w:rsid w:val="007B3452"/>
    <w:rsid w:val="007B63E4"/>
    <w:rsid w:val="0080575F"/>
    <w:rsid w:val="00810B37"/>
    <w:rsid w:val="008753B3"/>
    <w:rsid w:val="00884501"/>
    <w:rsid w:val="008859F2"/>
    <w:rsid w:val="008C513E"/>
    <w:rsid w:val="0092566F"/>
    <w:rsid w:val="00940A23"/>
    <w:rsid w:val="009644AF"/>
    <w:rsid w:val="00992AD6"/>
    <w:rsid w:val="009B703B"/>
    <w:rsid w:val="00A300B6"/>
    <w:rsid w:val="00A3175E"/>
    <w:rsid w:val="00A477BA"/>
    <w:rsid w:val="00A54CCB"/>
    <w:rsid w:val="00A928A6"/>
    <w:rsid w:val="00AB1072"/>
    <w:rsid w:val="00AC10E0"/>
    <w:rsid w:val="00AD1011"/>
    <w:rsid w:val="00AE62DD"/>
    <w:rsid w:val="00B65FAA"/>
    <w:rsid w:val="00BA25CC"/>
    <w:rsid w:val="00BB3F70"/>
    <w:rsid w:val="00BC7795"/>
    <w:rsid w:val="00BE76AA"/>
    <w:rsid w:val="00C533F1"/>
    <w:rsid w:val="00C7111E"/>
    <w:rsid w:val="00C71853"/>
    <w:rsid w:val="00C759AF"/>
    <w:rsid w:val="00C85024"/>
    <w:rsid w:val="00C912FA"/>
    <w:rsid w:val="00C97E0F"/>
    <w:rsid w:val="00CA42C1"/>
    <w:rsid w:val="00CB7462"/>
    <w:rsid w:val="00D42528"/>
    <w:rsid w:val="00D6152D"/>
    <w:rsid w:val="00D91741"/>
    <w:rsid w:val="00DD0D0D"/>
    <w:rsid w:val="00DF5BF2"/>
    <w:rsid w:val="00E50C0B"/>
    <w:rsid w:val="00EA3B22"/>
    <w:rsid w:val="00EB17BC"/>
    <w:rsid w:val="00EC7EEB"/>
    <w:rsid w:val="00ED5C0E"/>
    <w:rsid w:val="00F248E5"/>
    <w:rsid w:val="00F353BA"/>
    <w:rsid w:val="00F7433C"/>
    <w:rsid w:val="00F913F9"/>
    <w:rsid w:val="00FB6030"/>
    <w:rsid w:val="00FB7859"/>
    <w:rsid w:val="00FC0699"/>
    <w:rsid w:val="00FE16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0D0D"/>
    <w:pPr>
      <w:widowControl w:val="0"/>
    </w:pPr>
    <w:rPr>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BC7795"/>
    <w:pPr>
      <w:spacing w:after="120"/>
    </w:pPr>
  </w:style>
  <w:style w:type="character" w:customStyle="1" w:styleId="a4">
    <w:name w:val="本文 字元"/>
    <w:link w:val="a3"/>
    <w:locked/>
    <w:rsid w:val="00BC7795"/>
    <w:rPr>
      <w:rFonts w:cs="Times New Roman"/>
    </w:rPr>
  </w:style>
  <w:style w:type="paragraph" w:styleId="Web">
    <w:name w:val="Normal (Web)"/>
    <w:basedOn w:val="a"/>
    <w:rsid w:val="003504D6"/>
    <w:pPr>
      <w:widowControl/>
      <w:spacing w:before="100" w:beforeAutospacing="1" w:after="100" w:afterAutospacing="1"/>
    </w:pPr>
    <w:rPr>
      <w:rFonts w:ascii="新細明體" w:hAnsi="新細明體"/>
      <w:kern w:val="0"/>
      <w:szCs w:val="24"/>
    </w:rPr>
  </w:style>
  <w:style w:type="paragraph" w:styleId="a5">
    <w:name w:val="header"/>
    <w:basedOn w:val="a"/>
    <w:link w:val="a6"/>
    <w:rsid w:val="003D2B5C"/>
    <w:pPr>
      <w:tabs>
        <w:tab w:val="center" w:pos="4153"/>
        <w:tab w:val="right" w:pos="8306"/>
      </w:tabs>
      <w:snapToGrid w:val="0"/>
    </w:pPr>
    <w:rPr>
      <w:sz w:val="20"/>
      <w:szCs w:val="20"/>
    </w:rPr>
  </w:style>
  <w:style w:type="character" w:customStyle="1" w:styleId="a6">
    <w:name w:val="頁首 字元"/>
    <w:link w:val="a5"/>
    <w:locked/>
    <w:rsid w:val="003D2B5C"/>
    <w:rPr>
      <w:rFonts w:cs="Times New Roman"/>
      <w:sz w:val="20"/>
      <w:szCs w:val="20"/>
    </w:rPr>
  </w:style>
  <w:style w:type="paragraph" w:styleId="a7">
    <w:name w:val="footer"/>
    <w:basedOn w:val="a"/>
    <w:link w:val="a8"/>
    <w:rsid w:val="003D2B5C"/>
    <w:pPr>
      <w:tabs>
        <w:tab w:val="center" w:pos="4153"/>
        <w:tab w:val="right" w:pos="8306"/>
      </w:tabs>
      <w:snapToGrid w:val="0"/>
    </w:pPr>
    <w:rPr>
      <w:sz w:val="20"/>
      <w:szCs w:val="20"/>
    </w:rPr>
  </w:style>
  <w:style w:type="character" w:customStyle="1" w:styleId="a8">
    <w:name w:val="頁尾 字元"/>
    <w:link w:val="a7"/>
    <w:locked/>
    <w:rsid w:val="003D2B5C"/>
    <w:rPr>
      <w:rFonts w:cs="Times New Roman"/>
      <w:sz w:val="20"/>
      <w:szCs w:val="20"/>
    </w:rPr>
  </w:style>
  <w:style w:type="paragraph" w:styleId="a9">
    <w:name w:val="Balloon Text"/>
    <w:basedOn w:val="a"/>
    <w:link w:val="aa"/>
    <w:semiHidden/>
    <w:rsid w:val="00FB6030"/>
    <w:rPr>
      <w:rFonts w:ascii="Cambria" w:hAnsi="Cambria"/>
      <w:sz w:val="18"/>
      <w:szCs w:val="18"/>
    </w:rPr>
  </w:style>
  <w:style w:type="character" w:customStyle="1" w:styleId="aa">
    <w:name w:val="註解方塊文字 字元"/>
    <w:link w:val="a9"/>
    <w:semiHidden/>
    <w:locked/>
    <w:rsid w:val="00FB6030"/>
    <w:rPr>
      <w:rFonts w:ascii="Cambria" w:eastAsia="新細明體" w:hAnsi="Cambria" w:cs="Times New Roman"/>
      <w:sz w:val="18"/>
      <w:szCs w:val="18"/>
    </w:rPr>
  </w:style>
  <w:style w:type="table" w:styleId="ab">
    <w:name w:val="Table Grid"/>
    <w:basedOn w:val="a1"/>
    <w:rsid w:val="004C1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0D0D"/>
    <w:pPr>
      <w:widowControl w:val="0"/>
    </w:pPr>
    <w:rPr>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BC7795"/>
    <w:pPr>
      <w:spacing w:after="120"/>
    </w:pPr>
  </w:style>
  <w:style w:type="character" w:customStyle="1" w:styleId="a4">
    <w:name w:val="本文 字元"/>
    <w:link w:val="a3"/>
    <w:locked/>
    <w:rsid w:val="00BC7795"/>
    <w:rPr>
      <w:rFonts w:cs="Times New Roman"/>
    </w:rPr>
  </w:style>
  <w:style w:type="paragraph" w:styleId="Web">
    <w:name w:val="Normal (Web)"/>
    <w:basedOn w:val="a"/>
    <w:rsid w:val="003504D6"/>
    <w:pPr>
      <w:widowControl/>
      <w:spacing w:before="100" w:beforeAutospacing="1" w:after="100" w:afterAutospacing="1"/>
    </w:pPr>
    <w:rPr>
      <w:rFonts w:ascii="新細明體" w:hAnsi="新細明體"/>
      <w:kern w:val="0"/>
      <w:szCs w:val="24"/>
    </w:rPr>
  </w:style>
  <w:style w:type="paragraph" w:styleId="a5">
    <w:name w:val="header"/>
    <w:basedOn w:val="a"/>
    <w:link w:val="a6"/>
    <w:rsid w:val="003D2B5C"/>
    <w:pPr>
      <w:tabs>
        <w:tab w:val="center" w:pos="4153"/>
        <w:tab w:val="right" w:pos="8306"/>
      </w:tabs>
      <w:snapToGrid w:val="0"/>
    </w:pPr>
    <w:rPr>
      <w:sz w:val="20"/>
      <w:szCs w:val="20"/>
    </w:rPr>
  </w:style>
  <w:style w:type="character" w:customStyle="1" w:styleId="a6">
    <w:name w:val="頁首 字元"/>
    <w:link w:val="a5"/>
    <w:locked/>
    <w:rsid w:val="003D2B5C"/>
    <w:rPr>
      <w:rFonts w:cs="Times New Roman"/>
      <w:sz w:val="20"/>
      <w:szCs w:val="20"/>
    </w:rPr>
  </w:style>
  <w:style w:type="paragraph" w:styleId="a7">
    <w:name w:val="footer"/>
    <w:basedOn w:val="a"/>
    <w:link w:val="a8"/>
    <w:rsid w:val="003D2B5C"/>
    <w:pPr>
      <w:tabs>
        <w:tab w:val="center" w:pos="4153"/>
        <w:tab w:val="right" w:pos="8306"/>
      </w:tabs>
      <w:snapToGrid w:val="0"/>
    </w:pPr>
    <w:rPr>
      <w:sz w:val="20"/>
      <w:szCs w:val="20"/>
    </w:rPr>
  </w:style>
  <w:style w:type="character" w:customStyle="1" w:styleId="a8">
    <w:name w:val="頁尾 字元"/>
    <w:link w:val="a7"/>
    <w:locked/>
    <w:rsid w:val="003D2B5C"/>
    <w:rPr>
      <w:rFonts w:cs="Times New Roman"/>
      <w:sz w:val="20"/>
      <w:szCs w:val="20"/>
    </w:rPr>
  </w:style>
  <w:style w:type="paragraph" w:styleId="a9">
    <w:name w:val="Balloon Text"/>
    <w:basedOn w:val="a"/>
    <w:link w:val="aa"/>
    <w:semiHidden/>
    <w:rsid w:val="00FB6030"/>
    <w:rPr>
      <w:rFonts w:ascii="Cambria" w:hAnsi="Cambria"/>
      <w:sz w:val="18"/>
      <w:szCs w:val="18"/>
    </w:rPr>
  </w:style>
  <w:style w:type="character" w:customStyle="1" w:styleId="aa">
    <w:name w:val="註解方塊文字 字元"/>
    <w:link w:val="a9"/>
    <w:semiHidden/>
    <w:locked/>
    <w:rsid w:val="00FB6030"/>
    <w:rPr>
      <w:rFonts w:ascii="Cambria" w:eastAsia="新細明體" w:hAnsi="Cambria" w:cs="Times New Roman"/>
      <w:sz w:val="18"/>
      <w:szCs w:val="18"/>
    </w:rPr>
  </w:style>
  <w:style w:type="table" w:styleId="ab">
    <w:name w:val="Table Grid"/>
    <w:basedOn w:val="a1"/>
    <w:rsid w:val="004C1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95119-CED3-454D-BF21-4B83FC75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演藝事業學士學位學程本位課程發展流程</dc:title>
  <dc:creator>cam</dc:creator>
  <cp:lastModifiedBy>劉小意</cp:lastModifiedBy>
  <cp:revision>2</cp:revision>
  <cp:lastPrinted>2015-10-06T06:54:00Z</cp:lastPrinted>
  <dcterms:created xsi:type="dcterms:W3CDTF">2016-12-20T03:07:00Z</dcterms:created>
  <dcterms:modified xsi:type="dcterms:W3CDTF">2016-12-20T03:07:00Z</dcterms:modified>
</cp:coreProperties>
</file>